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Giekerk (Gytsjerk) / 1896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Landelijk gelegen romaanse kerk met 19e-eeuwse geveltoren. Oudste delen dateren uit eind 12e eeuw, onder andere het tufstenen koor en delen van de noordwand. Huidige vorm te danken aan vroeg 16e-eeuwse verbouwing. Kansel met dooptuin midden 18e-eeuws, herenbank en enkele rouwborden uit dezelfde periode.</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orgelfront dat tot de reeks Bakker &amp; Timmenga-fronten behoort die als Adema-navolging kan worden gezien, hier in de versie met hol gewelfde tussenvelden.</w:t>
      </w:r>
    </w:p>
    <w:p>
      <w:pPr>
        <w:pStyle w:val="T2Kunst"/>
        <w:jc w:val="start"/>
        <w:rPr/>
      </w:pPr>
      <w:r>
        <w:rPr>
          <w:lang w:val="nl-NL"/>
        </w:rPr>
        <w:t xml:space="preserve">Bij dit exemplaar is de ornamentiek tamelijk uitbundig en verfijnd uitgevoerd. Bij de pijpvoeten zijn blinderingen geplaatst, die, zoals steeds bij deze orgelmakers, laag zijn gehouden. Alle blinderingen van het front bestaan uit composities van voluten, bladranken en bloemen. Tegenover de verfijning van de blinderingen staan de </w:t>
      </w:r>
      <w:r>
        <w:rPr>
          <w:i/>
          <w:iCs/>
          <w:lang w:val="nl-NL"/>
        </w:rPr>
        <w:t>culs-de-lampe</w:t>
      </w:r>
      <w:r>
        <w:rPr>
          <w:lang w:val="nl-NL"/>
        </w:rPr>
        <w:t xml:space="preserve"> die uit krachtige vormen, in hoofdzaak bladmotieven, bestaan.</w:t>
      </w:r>
    </w:p>
    <w:p>
      <w:pPr>
        <w:pStyle w:val="T2Kunst"/>
        <w:jc w:val="start"/>
        <w:rPr>
          <w:lang w:val="nl-NL"/>
        </w:rPr>
      </w:pPr>
      <w:r>
        <w:rPr>
          <w:lang w:val="nl-NL"/>
        </w:rPr>
        <w:t>De opzetstukken op de zijtorens laten C-voluten zien die met bladranken en bloemen zijn aangevuld. De meer gecompliceerde compositie van het opzetstuk van de middentoren bestaat in feite uit dezelfde elementen, waarbij naast de twee grote C-voluten in het midden nog twee kleinere, in spiegelbeeld gekoppelde C-voluten te zien zijn, die als piëdestal voor de bekronende lier fungeren.</w:t>
      </w:r>
    </w:p>
    <w:p>
      <w:pPr>
        <w:pStyle w:val="T2Kunst"/>
        <w:jc w:val="start"/>
        <w:rPr>
          <w:lang w:val="nl-NL"/>
        </w:rPr>
      </w:pPr>
      <w:r>
        <w:rPr>
          <w:lang w:val="nl-NL"/>
        </w:rPr>
        <w:t>Bij de vleugelstukken bestaat het hoofdthema uit een langgerekte S-voluut, die omspeeld wordt door bladranken, een wijnstok met druiventros, en aan beide zijden een speels vogeltje.</w:t>
      </w:r>
    </w:p>
    <w:p>
      <w:pPr>
        <w:pStyle w:val="T2Kunst"/>
        <w:jc w:val="start"/>
        <w:rPr>
          <w:lang w:val="nl-NL"/>
        </w:rPr>
      </w:pPr>
      <w:r>
        <w:rPr>
          <w:lang w:val="nl-NL"/>
        </w:rPr>
      </w:r>
    </w:p>
    <w:p>
      <w:pPr>
        <w:pStyle w:val="T3Lit"/>
        <w:jc w:val="start"/>
        <w:rPr>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188.</w:t>
      </w:r>
    </w:p>
    <w:p>
      <w:pPr>
        <w:pStyle w:val="T3Lit"/>
        <w:rPr/>
      </w:pPr>
      <w:r>
        <w:rPr>
          <w:i/>
          <w:iCs/>
          <w:lang w:val="nl-NL"/>
        </w:rPr>
        <w:t>Het Orgel</w:t>
      </w:r>
      <w:r>
        <w:rPr>
          <w:lang w:val="nl-NL"/>
        </w:rPr>
        <w:t>, 11/10 (1896), 129.</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Monumentnummer 35654</w:t>
      </w:r>
    </w:p>
    <w:p>
      <w:pPr>
        <w:pStyle w:val="T3Lit"/>
        <w:rPr>
          <w:lang w:val="nl-NL"/>
        </w:rPr>
      </w:pPr>
      <w:r>
        <w:rPr>
          <w:lang w:val="nl-NL"/>
        </w:rPr>
        <w:t>Orgelnummer 501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Bakker &amp; Timmenga 1921</w:t>
      </w:r>
    </w:p>
    <w:p>
      <w:pPr>
        <w:pStyle w:val="T1"/>
        <w:numPr>
          <w:ilvl w:val="0"/>
          <w:numId w:val="2"/>
        </w:numPr>
        <w:jc w:val="start"/>
        <w:rPr>
          <w:lang w:val="nl-NL"/>
        </w:rPr>
      </w:pPr>
      <w:r>
        <w:rPr>
          <w:lang w:val="nl-NL"/>
        </w:rPr>
        <w:t>orgel schoongemaakt, frontpijpen gepolijst</w:t>
      </w:r>
    </w:p>
    <w:p>
      <w:pPr>
        <w:pStyle w:val="T1"/>
        <w:numPr>
          <w:ilvl w:val="0"/>
          <w:numId w:val="2"/>
        </w:numPr>
        <w:jc w:val="start"/>
        <w:rPr>
          <w:lang w:val="nl-NL"/>
        </w:rPr>
      </w:pPr>
      <w:r>
        <w:rPr>
          <w:lang w:val="nl-NL"/>
        </w:rPr>
        <w:t>stempels van de roosters vernieuwd</w:t>
      </w:r>
    </w:p>
    <w:p>
      <w:pPr>
        <w:pStyle w:val="T1"/>
        <w:jc w:val="start"/>
        <w:rPr>
          <w:lang w:val="nl-NL"/>
        </w:rPr>
      </w:pPr>
      <w:r>
        <w:rPr>
          <w:lang w:val="nl-NL"/>
        </w:rPr>
      </w:r>
    </w:p>
    <w:p>
      <w:pPr>
        <w:pStyle w:val="T1"/>
        <w:jc w:val="start"/>
        <w:rPr>
          <w:lang w:val="nl-NL"/>
        </w:rPr>
      </w:pPr>
      <w:r>
        <w:rPr>
          <w:lang w:val="nl-NL"/>
        </w:rPr>
        <w:t>Bakker &amp; Timmenga 1937</w:t>
      </w:r>
    </w:p>
    <w:p>
      <w:pPr>
        <w:pStyle w:val="T1"/>
        <w:numPr>
          <w:ilvl w:val="0"/>
          <w:numId w:val="3"/>
        </w:numPr>
        <w:jc w:val="start"/>
        <w:rPr>
          <w:lang w:val="nl-NL"/>
        </w:rPr>
      </w:pPr>
      <w:r>
        <w:rPr>
          <w:lang w:val="nl-NL"/>
        </w:rPr>
        <w:t>herstel na brandschade</w:t>
      </w:r>
    </w:p>
    <w:p>
      <w:pPr>
        <w:pStyle w:val="T1"/>
        <w:numPr>
          <w:ilvl w:val="0"/>
          <w:numId w:val="3"/>
        </w:numPr>
        <w:jc w:val="start"/>
        <w:rPr>
          <w:lang w:val="nl-NL"/>
        </w:rPr>
      </w:pPr>
      <w:r>
        <w:rPr>
          <w:lang w:val="nl-NL"/>
        </w:rPr>
        <w:t>orgel schoongemaakt, frontpijpen geschuurd en gepolijst, labia verguld</w:t>
      </w:r>
    </w:p>
    <w:p>
      <w:pPr>
        <w:pStyle w:val="T1"/>
        <w:numPr>
          <w:ilvl w:val="0"/>
          <w:numId w:val="3"/>
        </w:numPr>
        <w:jc w:val="start"/>
        <w:rPr>
          <w:lang w:val="nl-NL"/>
        </w:rPr>
      </w:pPr>
      <w:r>
        <w:rPr>
          <w:lang w:val="nl-NL"/>
        </w:rPr>
        <w:t>hoeden van de gedekte pijpen sluitend gemaakt</w:t>
      </w:r>
    </w:p>
    <w:p>
      <w:pPr>
        <w:pStyle w:val="T1"/>
        <w:numPr>
          <w:ilvl w:val="0"/>
          <w:numId w:val="3"/>
        </w:numPr>
        <w:jc w:val="start"/>
        <w:rPr>
          <w:lang w:val="nl-NL"/>
        </w:rPr>
      </w:pPr>
      <w:r>
        <w:rPr>
          <w:lang w:val="nl-NL"/>
        </w:rPr>
        <w:t>klavier van nieuw stootkussen voorzien, pedaalklavier opnieuw bevoerd</w:t>
      </w:r>
    </w:p>
    <w:p>
      <w:pPr>
        <w:pStyle w:val="T1"/>
        <w:numPr>
          <w:ilvl w:val="0"/>
          <w:numId w:val="3"/>
        </w:numPr>
        <w:jc w:val="start"/>
        <w:rPr>
          <w:lang w:val="nl-NL"/>
        </w:rPr>
      </w:pPr>
      <w:r>
        <w:rPr>
          <w:lang w:val="nl-NL"/>
        </w:rPr>
        <w:t>ventielen gereinigd, ventielveren geschuurd</w:t>
      </w:r>
    </w:p>
    <w:p>
      <w:pPr>
        <w:pStyle w:val="T1"/>
        <w:jc w:val="start"/>
        <w:rPr>
          <w:lang w:val="nl-NL"/>
        </w:rPr>
      </w:pPr>
      <w:r>
        <w:rPr>
          <w:lang w:val="nl-NL"/>
        </w:rPr>
      </w:r>
    </w:p>
    <w:p>
      <w:pPr>
        <w:pStyle w:val="T1"/>
        <w:jc w:val="start"/>
        <w:rPr>
          <w:lang w:val="nl-NL"/>
        </w:rPr>
      </w:pPr>
      <w:r>
        <w:rPr>
          <w:lang w:val="nl-NL"/>
        </w:rPr>
        <w:t>J. Vos (Stichting De Orgelwacht), onbekend moment</w:t>
      </w:r>
    </w:p>
    <w:p>
      <w:pPr>
        <w:pStyle w:val="T1"/>
        <w:numPr>
          <w:ilvl w:val="0"/>
          <w:numId w:val="4"/>
        </w:numPr>
        <w:jc w:val="start"/>
        <w:rPr>
          <w:lang w:val="nl-NL"/>
        </w:rPr>
      </w:pPr>
      <w:r>
        <w:rPr>
          <w:lang w:val="nl-NL"/>
        </w:rPr>
        <w:t>orgel schoongemaakt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490" w:type="dxa"/>
        <w:jc w:val="start"/>
        <w:tblInd w:w="-70" w:type="dxa"/>
        <w:tblLayout w:type="fixed"/>
        <w:tblCellMar>
          <w:top w:w="0" w:type="dxa"/>
          <w:start w:w="70" w:type="dxa"/>
          <w:bottom w:w="0" w:type="dxa"/>
          <w:end w:w="70" w:type="dxa"/>
        </w:tblCellMar>
      </w:tblPr>
      <w:tblGrid>
        <w:gridCol w:w="1510"/>
        <w:gridCol w:w="540"/>
        <w:gridCol w:w="900"/>
        <w:gridCol w:w="540"/>
      </w:tblGrid>
      <w:tr>
        <w:trPr/>
        <w:tc>
          <w:tcPr>
            <w:tcW w:w="1510"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Melophone</w:t>
            </w:r>
          </w:p>
          <w:p>
            <w:pPr>
              <w:pStyle w:val="T4dispositie"/>
              <w:jc w:val="start"/>
              <w:rPr>
                <w:lang w:val="nl-NL"/>
              </w:rPr>
            </w:pPr>
            <w:r>
              <w:rPr>
                <w:lang w:val="nl-NL"/>
              </w:rPr>
              <w:t>Viola di Gambe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Viola</w:t>
            </w:r>
          </w:p>
          <w:p>
            <w:pPr>
              <w:pStyle w:val="T4dispositie"/>
              <w:jc w:val="start"/>
              <w:rPr>
                <w:lang w:val="nl-NL"/>
              </w:rPr>
            </w:pPr>
            <w:r>
              <w:rPr>
                <w:lang w:val="nl-NL"/>
              </w:rPr>
              <w:t>Woudfluit</w:t>
            </w:r>
          </w:p>
          <w:p>
            <w:pPr>
              <w:pStyle w:val="T4dispositie"/>
              <w:jc w:val="start"/>
              <w:rPr>
                <w:lang w:val="nl-NL"/>
              </w:rPr>
            </w:pPr>
            <w:r>
              <w:rPr>
                <w:lang w:val="nl-NL"/>
              </w:rPr>
              <w:t>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900" w:type="dxa"/>
            <w:tcBorders/>
          </w:tcPr>
          <w:p>
            <w:pPr>
              <w:pStyle w:val="T4dispositie"/>
              <w:jc w:val="start"/>
              <w:rPr>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4dispositie"/>
        <w:rPr>
          <w:lang w:val="nl-NL"/>
        </w:rPr>
      </w:pPr>
      <w:r>
        <w:rPr>
          <w:lang w:val="nl-NL"/>
        </w:rPr>
      </w:r>
    </w:p>
    <w:p>
      <w:pPr>
        <w:pStyle w:val="T4dispositie"/>
        <w:rPr>
          <w:lang w:val="nl-NL"/>
        </w:rPr>
      </w:pPr>
      <w:r>
        <w:rPr>
          <w:lang w:val="nl-NL"/>
        </w:rPr>
        <w:t>* gereserveerd</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(1896)</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Engels tin. Sprekend zijn de drie torens en in de onderste tussenvelden aan beide zijden vier pijpen, samen C-e</w:t>
      </w:r>
      <w:r>
        <w:rPr>
          <w:vertAlign w:val="superscript"/>
          <w:lang w:val="nl-NL"/>
        </w:rPr>
        <w:t>1</w:t>
      </w:r>
      <w:r>
        <w:rPr>
          <w:lang w:val="nl-NL"/>
        </w:rPr>
        <w:t xml:space="preserve"> van de Prestant 8'.</w:t>
      </w:r>
    </w:p>
    <w:p>
      <w:pPr>
        <w:pStyle w:val="T1"/>
        <w:jc w:val="start"/>
        <w:rPr>
          <w:lang w:val="nl-NL"/>
        </w:rPr>
      </w:pPr>
      <w:r>
        <w:rPr>
          <w:lang w:val="nl-NL"/>
        </w:rPr>
        <w:t>Het handklavier is een eiken staartklavier. Het toetsbeleg is van ivoor en dateert uit de bouwtijd. De registerknoppen bevinden zich boven de lessenaar, uitgezonderd de knoppen voor de Bourdon Ped en de Pedaalkoppel, die aan weerszijden van het handklavier geplaatst zijn. De knoppen zijn voorzien van witte porseleinen naamplaatjes.</w:t>
      </w:r>
    </w:p>
    <w:p>
      <w:pPr>
        <w:pStyle w:val="T1"/>
        <w:jc w:val="start"/>
        <w:rPr>
          <w:lang w:val="nl-NL"/>
        </w:rPr>
      </w:pPr>
      <w:r>
        <w:rPr>
          <w:lang w:val="nl-NL"/>
        </w:rPr>
        <w:t>Het windtoestel is onder in de kas ondergebracht.</w:t>
      </w:r>
    </w:p>
    <w:p>
      <w:pPr>
        <w:pStyle w:val="T1"/>
        <w:jc w:val="start"/>
        <w:rPr/>
      </w:pPr>
      <w:r>
        <w:rPr>
          <w:lang w:val="nl-NL"/>
        </w:rPr>
        <w:t>De windlade is van eiken. De stokken zijn van mahonie. De ventielkast heeft drie opliggende voorslagen. De cancelvolgorde is: fis d Gis c e gis /e</w:t>
      </w:r>
      <w:r>
        <w:rPr>
          <w:vertAlign w:val="superscript"/>
          <w:lang w:val="nl-NL"/>
        </w:rPr>
        <w:t>3</w:t>
      </w:r>
      <w:r>
        <w:rPr>
          <w:lang w:val="nl-NL"/>
        </w:rPr>
        <w:t>-b / Fis E D C Cis Dis F / a-f</w:t>
      </w:r>
      <w:r>
        <w:rPr>
          <w:vertAlign w:val="superscript"/>
          <w:lang w:val="nl-NL"/>
        </w:rPr>
        <w:t>3</w:t>
      </w:r>
      <w:r>
        <w:rPr>
          <w:lang w:val="nl-NL"/>
        </w:rPr>
        <w:t xml:space="preserve"> / g dis H G A cis f (f aan klavierzijde).</w:t>
      </w:r>
    </w:p>
    <w:p>
      <w:pPr>
        <w:pStyle w:val="T1"/>
        <w:jc w:val="start"/>
        <w:rPr>
          <w:lang w:val="nl-NL"/>
        </w:rPr>
      </w:pPr>
      <w:r>
        <w:rPr>
          <w:lang w:val="nl-NL"/>
        </w:rPr>
        <w:t>Voor de gereserveerde Trompet zijn sleep, stok en registermechaniek aanwezig. Onder de lade bevindt zich een eiken walsraam met grenen walsen.</w:t>
      </w:r>
    </w:p>
    <w:p>
      <w:pPr>
        <w:pStyle w:val="T1"/>
        <w:jc w:val="start"/>
        <w:rPr>
          <w:lang w:val="nl-NL"/>
        </w:rPr>
      </w:pPr>
      <w:r>
        <w:rPr>
          <w:lang w:val="nl-NL"/>
        </w:rPr>
        <w:t>Eiken pijpen zijn toegepast bij de Bourdon 16' (C-h, de grootsten tegen de zijwand, op een transmissielade die met het walsraam is verbonden), en de Holpijp 8' (C-H).</w:t>
      </w:r>
    </w:p>
    <w:p>
      <w:pPr>
        <w:pStyle w:val="T1"/>
        <w:jc w:val="start"/>
        <w:rPr/>
      </w:pPr>
      <w:r>
        <w:rPr>
          <w:lang w:val="nl-NL"/>
        </w:rPr>
        <w:t>De Melophone is van C-H gecombineerd met de Prestant, de Viola di Gambe met de Holpijp. De Melophone heeft hoge geritste puntlabia, bij de grotere pijpen kastbaarden en bij g-h</w:t>
      </w:r>
      <w:r>
        <w:rPr>
          <w:vertAlign w:val="superscript"/>
          <w:lang w:val="nl-NL"/>
        </w:rPr>
        <w:t>2</w:t>
      </w:r>
      <w:r>
        <w:rPr>
          <w:lang w:val="nl-NL"/>
        </w:rPr>
        <w:t xml:space="preserve"> zijbaarden bij de expressions. De Roerfluit 4' bestaat in het hoogste octaaf uit conische pijpen. De Woudfluit is cilindrisch, op groot C een gelijkluidende naaminscriptie.</w:t>
      </w:r>
    </w:p>
    <w:p>
      <w:pPr>
        <w:pStyle w:val="T1"/>
        <w:jc w:val="start"/>
        <w:rPr/>
      </w:pPr>
      <w:r>
        <w:rPr>
          <w:lang w:val="nl-NL"/>
        </w:rPr>
        <w:t>Expressions zijn toegepast bij de Prestant, de Melophone en de Viola di Gambe tot en met h</w:t>
      </w:r>
      <w:r>
        <w:rPr>
          <w:vertAlign w:val="superscript"/>
          <w:lang w:val="nl-NL"/>
        </w:rPr>
        <w:t>2</w:t>
      </w:r>
      <w:r>
        <w:rPr>
          <w:lang w:val="nl-NL"/>
        </w:rPr>
        <w:t>, bij Octaaf 4' en Viola 4' tot en met h</w:t>
      </w:r>
      <w:r>
        <w:rPr>
          <w:vertAlign w:val="superscript"/>
          <w:lang w:val="nl-NL"/>
        </w:rPr>
        <w:t>1</w:t>
      </w:r>
      <w:r>
        <w:rPr>
          <w:lang w:val="nl-NL"/>
        </w:rPr>
        <w:t>, bij de Woudfluit tot en met 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2008-05-05T13:08:00Z</dcterms:created>
  <dc:creator>WS1</dc:creator>
  <dc:description/>
  <dc:language>en-US</dc:language>
  <cp:lastModifiedBy>NIvO</cp:lastModifiedBy>
  <dcterms:modified xsi:type="dcterms:W3CDTF">2008-06-24T12:56:00Z</dcterms:modified>
  <cp:revision>3</cp:revision>
  <dc:subject/>
  <dc:title>Utrecht / 1880</dc:title>
</cp:coreProperties>
</file>