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Leidschendam / 1896</w:t>
      </w:r>
    </w:p>
    <w:p>
      <w:pPr>
        <w:pStyle w:val="Heading2"/>
        <w:rPr>
          <w:i w:val="false"/>
          <w:i w:val="false"/>
          <w:iCs/>
        </w:rPr>
      </w:pPr>
      <w:r>
        <w:rPr>
          <w:i w:val="false"/>
          <w:iCs/>
        </w:rPr>
        <w:t>Hervormde Dorpskerk</w:t>
      </w:r>
    </w:p>
    <w:p>
      <w:pPr>
        <w:pStyle w:val="T1"/>
        <w:jc w:val="start"/>
        <w:rPr>
          <w:i/>
          <w:i/>
          <w:iCs/>
          <w:lang w:val="nl-NL"/>
        </w:rPr>
      </w:pPr>
      <w:r>
        <w:rPr>
          <w:i/>
          <w:iCs/>
          <w:lang w:val="nl-NL"/>
        </w:rPr>
      </w:r>
    </w:p>
    <w:p>
      <w:pPr>
        <w:pStyle w:val="T1"/>
        <w:jc w:val="start"/>
        <w:rPr>
          <w:i/>
          <w:i/>
          <w:iCs/>
          <w:lang w:val="nl-NL"/>
        </w:rPr>
      </w:pPr>
      <w:r>
        <w:rPr>
          <w:i/>
          <w:iCs/>
          <w:lang w:val="nl-NL"/>
        </w:rPr>
        <w:t>Achtzijdige koepelkerk (1653) naar ontwerp van Arent van ‘s-Gravesande. Herbouwd na brand in 1696 onder leiding van Jacob Roman. In 1865 gemoderniseerd, waarbij de oorspronkelijke koepel werd vervangen door de huidige kegelvormige spits met driehoekige frontons en opengewerkte lantaarn. Herenbank en preekstoel uit ca 1697.</w:t>
      </w:r>
    </w:p>
    <w:p>
      <w:pPr>
        <w:pStyle w:val="T1"/>
        <w:jc w:val="start"/>
        <w:rPr>
          <w:i/>
          <w:i/>
          <w:iCs/>
          <w:lang w:val="nl-NL"/>
        </w:rPr>
      </w:pPr>
      <w:r>
        <w:rPr>
          <w:i/>
          <w:iCs/>
          <w:lang w:val="nl-NL"/>
        </w:rPr>
      </w:r>
    </w:p>
    <w:p>
      <w:pPr>
        <w:pStyle w:val="T1"/>
        <w:jc w:val="start"/>
        <w:rPr>
          <w:lang w:val="nl-NL"/>
        </w:rPr>
      </w:pPr>
      <w:r>
        <w:rPr>
          <w:lang w:val="nl-NL"/>
        </w:rPr>
        <w:t>Kas: 1896</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lang w:val="nl-NL"/>
        </w:rPr>
      </w:pPr>
      <w:r>
        <w:rPr>
          <w:lang w:val="nl-NL"/>
        </w:rPr>
        <w:t>Een ontwerp dat weliswaar weer op de originele plaats in de kerk staat, maar toch enigszins detoneert, qua kleurstelling en materiaal. Van Gelder was in zijn ontwerpen origineel maar niet altijd even doeltreffend. Bij dit ontwerp zijn de lijsten zwaar en is er relatief weinig pijpwerk te zien. De panelen die dienen als verhoogde pijpstokken van het middenveld en de zijvelden vormen visueel een eenheid met de onderkas, en zo wordt het geheel wel heel massief en gesloten. De lijst bovenop de vijfdelige bovenkas is eveneens te zwaar, ook al verbindt hij op originele wijze de twee hoofdtorens. Ten opzichte van de centrale lijst is hij echter weer te smal en raakt het geheel visueel in onbalans. De versieringen zijn typisch Van Gelder, grof en consequent neoclassicistisch, zoals de voluten bovenop de zijvelden en ter blindering van de pijpuiteinden, de obelisken op de hoofdtorens en de consoles eronder. Zoals gebruikelijk zijn de torens bij de pijpuiteinden voorzien van gelobde bogen, een element dat hier wordt herhaald als krans rond de vergulde engel, die met zijn uitbundige verschijning mooi aansluit bij decoratie elders in de kerk.</w:t>
      </w:r>
    </w:p>
    <w:p>
      <w:pPr>
        <w:pStyle w:val="T1"/>
        <w:jc w:val="start"/>
        <w:rPr>
          <w:lang w:val="nl-NL"/>
        </w:rPr>
      </w:pPr>
      <w:r>
        <w:rPr>
          <w:lang w:val="nl-NL"/>
        </w:rPr>
      </w:r>
    </w:p>
    <w:p>
      <w:pPr>
        <w:pStyle w:val="T3Lit"/>
        <w:jc w:val="start"/>
        <w:rPr>
          <w:b/>
          <w:b/>
          <w:bCs/>
        </w:rPr>
      </w:pPr>
      <w:r>
        <w:rPr>
          <w:b/>
          <w:bCs/>
        </w:rPr>
        <w:t>Literatuur</w:t>
      </w:r>
    </w:p>
    <w:p>
      <w:pPr>
        <w:pStyle w:val="T3Lit"/>
        <w:jc w:val="start"/>
        <w:rPr/>
      </w:pPr>
      <w:r>
        <w:rPr>
          <w:i/>
          <w:iCs/>
          <w:lang w:val="nl-NL"/>
        </w:rPr>
        <w:t>Kerkelijke Courant</w:t>
      </w:r>
      <w:r>
        <w:rPr>
          <w:lang w:val="nl-NL"/>
        </w:rPr>
        <w:t>, 50/34 (1896).</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pPr>
      <w:r>
        <w:rPr>
          <w:lang w:val="fr-FR"/>
        </w:rPr>
        <w:t xml:space="preserve">A. Bouman, </w:t>
      </w:r>
      <w:r>
        <w:rPr>
          <w:i/>
          <w:iCs/>
          <w:lang w:val="fr-FR"/>
        </w:rPr>
        <w:t>Dispositiecahier V</w:t>
      </w:r>
      <w:r>
        <w:rPr>
          <w:lang w:val="fr-FR"/>
        </w:rPr>
        <w:t>.</w:t>
      </w:r>
    </w:p>
    <w:p>
      <w:pPr>
        <w:pStyle w:val="T1"/>
        <w:jc w:val="start"/>
        <w:rPr>
          <w:lang w:val="fr-FR"/>
        </w:rPr>
      </w:pPr>
      <w:r>
        <w:rPr>
          <w:lang w:val="fr-FR"/>
        </w:rPr>
      </w:r>
    </w:p>
    <w:p>
      <w:pPr>
        <w:pStyle w:val="T3Lit"/>
        <w:jc w:val="start"/>
        <w:rPr>
          <w:lang w:val="nl-NL"/>
        </w:rPr>
      </w:pPr>
      <w:r>
        <w:rPr>
          <w:lang w:val="nl-NL"/>
        </w:rPr>
        <w:t>Orgelnummer 864</w:t>
      </w:r>
    </w:p>
    <w:p>
      <w:pPr>
        <w:pStyle w:val="T3Lit"/>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van Gelder</w:t>
      </w:r>
    </w:p>
    <w:p>
      <w:pPr>
        <w:pStyle w:val="T1"/>
        <w:jc w:val="start"/>
        <w:rPr>
          <w:lang w:val="nl-NL"/>
        </w:rPr>
      </w:pPr>
      <w:r>
        <w:rPr>
          <w:lang w:val="nl-NL"/>
        </w:rPr>
        <w:t>2. Jac van der Linden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1. 1896</w:t>
      </w:r>
    </w:p>
    <w:p>
      <w:pPr>
        <w:pStyle w:val="T1"/>
        <w:jc w:val="start"/>
        <w:rPr>
          <w:lang w:val="nl-NL"/>
        </w:rPr>
      </w:pPr>
      <w:r>
        <w:rPr>
          <w:lang w:val="nl-NL"/>
        </w:rPr>
        <w:t>2. 1968</w:t>
      </w:r>
    </w:p>
    <w:p>
      <w:pPr>
        <w:pStyle w:val="T1"/>
        <w:jc w:val="start"/>
        <w:rPr>
          <w:lang w:val="nl-NL"/>
        </w:rPr>
      </w:pPr>
      <w:r>
        <w:rPr>
          <w:lang w:val="nl-NL"/>
        </w:rPr>
      </w:r>
    </w:p>
    <w:p>
      <w:pPr>
        <w:pStyle w:val="T1"/>
        <w:jc w:val="start"/>
        <w:rPr/>
      </w:pPr>
      <w:r>
        <w:rPr/>
        <w:t xml:space="preserve">Dispositie volgens contract </w:t>
      </w:r>
    </w:p>
    <w:tbl>
      <w:tblPr>
        <w:tblW w:w="2448" w:type="dxa"/>
        <w:jc w:val="start"/>
        <w:tblInd w:w="-108" w:type="dxa"/>
        <w:tblLayout w:type="fixed"/>
        <w:tblCellMar>
          <w:top w:w="0" w:type="dxa"/>
          <w:start w:w="108" w:type="dxa"/>
          <w:bottom w:w="0" w:type="dxa"/>
          <w:end w:w="108" w:type="dxa"/>
        </w:tblCellMar>
      </w:tblPr>
      <w:tblGrid>
        <w:gridCol w:w="1908"/>
        <w:gridCol w:w="540"/>
      </w:tblGrid>
      <w:tr>
        <w:trPr/>
        <w:tc>
          <w:tcPr>
            <w:tcW w:w="1908" w:type="dxa"/>
            <w:tcBorders/>
          </w:tcPr>
          <w:p>
            <w:pPr>
              <w:pStyle w:val="T4dispositie"/>
              <w:jc w:val="start"/>
              <w:rPr>
                <w:i/>
                <w:i/>
                <w:iCs/>
                <w:lang w:val="nl-NL"/>
              </w:rPr>
            </w:pPr>
            <w:r>
              <w:rPr>
                <w:i/>
                <w:iCs/>
                <w:lang w:val="nl-NL"/>
              </w:rPr>
              <w:t>Manuaal</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Gamba</w:t>
            </w:r>
          </w:p>
          <w:p>
            <w:pPr>
              <w:pStyle w:val="T4dispositie"/>
              <w:jc w:val="start"/>
              <w:rPr>
                <w:lang w:val="nl-NL"/>
              </w:rPr>
            </w:pPr>
            <w:r>
              <w:rPr>
                <w:lang w:val="nl-NL"/>
              </w:rPr>
              <w:t>Octaaf</w:t>
            </w:r>
          </w:p>
          <w:p>
            <w:pPr>
              <w:pStyle w:val="T4dispositie"/>
              <w:jc w:val="start"/>
              <w:rPr>
                <w:lang w:val="nl-NL"/>
              </w:rPr>
            </w:pPr>
            <w:r>
              <w:rPr>
                <w:lang w:val="nl-NL"/>
              </w:rPr>
              <w:t>Piccolo</w:t>
            </w:r>
          </w:p>
          <w:p>
            <w:pPr>
              <w:pStyle w:val="T4dispositie"/>
              <w:jc w:val="start"/>
              <w:rPr>
                <w:lang w:val="nl-NL"/>
              </w:rPr>
            </w:pPr>
            <w:r>
              <w:rPr>
                <w:lang w:val="nl-NL"/>
              </w:rPr>
              <w:t>Cornet</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tc>
      </w:tr>
    </w:tbl>
    <w:p>
      <w:pPr>
        <w:pStyle w:val="T4dispositie"/>
        <w:jc w:val="start"/>
        <w:rPr>
          <w:lang w:val="nl-NL"/>
        </w:rPr>
      </w:pPr>
      <w:r>
        <w:rPr>
          <w:lang w:val="nl-NL"/>
        </w:rPr>
      </w:r>
    </w:p>
    <w:p>
      <w:pPr>
        <w:pStyle w:val="T4dispositie"/>
        <w:jc w:val="start"/>
        <w:rPr/>
      </w:pPr>
      <w:r>
        <w:rPr>
          <w:lang w:val="nl-NL"/>
        </w:rPr>
        <w:t>manuaalomvang C-f</w:t>
      </w:r>
      <w:r>
        <w:rPr>
          <w:szCs w:val="24"/>
          <w:vertAlign w:val="superscript"/>
          <w:lang w:val="nl-NL"/>
        </w:rPr>
        <w:t>3</w:t>
      </w:r>
    </w:p>
    <w:p>
      <w:pPr>
        <w:pStyle w:val="T4dispositie"/>
        <w:jc w:val="start"/>
        <w:rPr/>
      </w:pPr>
      <w:r>
        <w:rPr>
          <w:lang w:val="nl-NL"/>
        </w:rPr>
        <w:t>pedaalomvang 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1927</w:t>
      </w:r>
    </w:p>
    <w:p>
      <w:pPr>
        <w:pStyle w:val="T1"/>
        <w:numPr>
          <w:ilvl w:val="0"/>
          <w:numId w:val="2"/>
        </w:numPr>
        <w:jc w:val="start"/>
        <w:rPr>
          <w:lang w:val="nl-NL"/>
        </w:rPr>
      </w:pPr>
      <w:r>
        <w:rPr>
          <w:lang w:val="nl-NL"/>
        </w:rPr>
        <w:t>orgel binnen kerkgebouw verplaatst</w:t>
      </w:r>
    </w:p>
    <w:p>
      <w:pPr>
        <w:pStyle w:val="T1"/>
        <w:jc w:val="start"/>
        <w:rPr>
          <w:lang w:val="nl-NL"/>
        </w:rPr>
      </w:pPr>
      <w:r>
        <w:rPr>
          <w:lang w:val="nl-NL"/>
        </w:rPr>
      </w:r>
    </w:p>
    <w:p>
      <w:pPr>
        <w:pStyle w:val="T1"/>
        <w:jc w:val="start"/>
        <w:rPr>
          <w:lang w:val="nl-NL"/>
        </w:rPr>
      </w:pPr>
      <w:r>
        <w:rPr>
          <w:lang w:val="nl-NL"/>
        </w:rPr>
        <w:t>Jac. van der Linden 1968</w:t>
      </w:r>
    </w:p>
    <w:p>
      <w:pPr>
        <w:pStyle w:val="T1"/>
        <w:numPr>
          <w:ilvl w:val="0"/>
          <w:numId w:val="2"/>
        </w:numPr>
        <w:jc w:val="start"/>
        <w:rPr>
          <w:lang w:val="nl-NL"/>
        </w:rPr>
      </w:pPr>
      <w:r>
        <w:rPr>
          <w:lang w:val="nl-NL"/>
        </w:rPr>
        <w:t>orgel gerestaureerd en op oorspronkelijke plaats teruggezet</w:t>
      </w:r>
    </w:p>
    <w:p>
      <w:pPr>
        <w:pStyle w:val="T1"/>
        <w:numPr>
          <w:ilvl w:val="0"/>
          <w:numId w:val="2"/>
        </w:numPr>
        <w:jc w:val="start"/>
        <w:rPr>
          <w:lang w:val="nl-NL"/>
        </w:rPr>
      </w:pPr>
      <w:r>
        <w:rPr>
          <w:lang w:val="nl-NL"/>
        </w:rPr>
        <w:t>orgel uitgebreid met vrij Ped voorzien van Subbas 16'</w:t>
      </w:r>
    </w:p>
    <w:p>
      <w:pPr>
        <w:pStyle w:val="T1"/>
        <w:numPr>
          <w:ilvl w:val="0"/>
          <w:numId w:val="2"/>
        </w:numPr>
        <w:jc w:val="start"/>
        <w:rPr>
          <w:lang w:val="nl-NL"/>
        </w:rPr>
      </w:pPr>
      <w:r>
        <w:rPr>
          <w:lang w:val="nl-NL"/>
        </w:rPr>
        <w:t>Man - Bourdon 16' (naar Ped), - Gamba 8', - Cornet, + Roerfluit 4', + Quint 2 2/3', + Mixtuur 4 st.</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 xml:space="preserve">Dispositie </w:t>
      </w:r>
    </w:p>
    <w:tbl>
      <w:tblPr>
        <w:tblW w:w="4968" w:type="dxa"/>
        <w:jc w:val="start"/>
        <w:tblInd w:w="-108" w:type="dxa"/>
        <w:tblLayout w:type="fixed"/>
        <w:tblCellMar>
          <w:top w:w="0" w:type="dxa"/>
          <w:start w:w="108" w:type="dxa"/>
          <w:bottom w:w="0" w:type="dxa"/>
          <w:end w:w="108" w:type="dxa"/>
        </w:tblCellMar>
      </w:tblPr>
      <w:tblGrid>
        <w:gridCol w:w="1728"/>
        <w:gridCol w:w="720"/>
        <w:gridCol w:w="1620"/>
        <w:gridCol w:w="900"/>
      </w:tblGrid>
      <w:tr>
        <w:trPr/>
        <w:tc>
          <w:tcPr>
            <w:tcW w:w="1728" w:type="dxa"/>
            <w:tcBorders/>
          </w:tcPr>
          <w:p>
            <w:pPr>
              <w:pStyle w:val="T4dispositie"/>
              <w:jc w:val="start"/>
              <w:rPr>
                <w:i/>
                <w:i/>
                <w:iCs/>
                <w:lang w:val="nl-NL"/>
              </w:rPr>
            </w:pPr>
            <w:r>
              <w:rPr>
                <w:i/>
                <w:iCs/>
                <w:lang w:val="nl-NL"/>
              </w:rPr>
              <w:t>Manuaal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Quint</w:t>
            </w:r>
          </w:p>
          <w:p>
            <w:pPr>
              <w:pStyle w:val="T4dispositie"/>
              <w:jc w:val="start"/>
              <w:rPr>
                <w:lang w:val="nl-NL"/>
              </w:rPr>
            </w:pPr>
            <w:r>
              <w:rPr>
                <w:lang w:val="nl-NL"/>
              </w:rPr>
              <w:t>Piccolo</w:t>
            </w:r>
          </w:p>
          <w:p>
            <w:pPr>
              <w:pStyle w:val="T4dispositie"/>
              <w:jc w:val="start"/>
              <w:rPr>
                <w:lang w:val="nl-NL"/>
              </w:rPr>
            </w:pPr>
            <w:r>
              <w:rPr>
                <w:lang w:val="nl-NL"/>
              </w:rPr>
              <w:t>Mixtuur</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4 st.</w:t>
            </w:r>
          </w:p>
        </w:tc>
        <w:tc>
          <w:tcPr>
            <w:tcW w:w="1620"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Subbas</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pedaalkoppel</w:t>
      </w:r>
    </w:p>
    <w:p>
      <w:pPr>
        <w:pStyle w:val="T1"/>
        <w:jc w:val="start"/>
        <w:rPr>
          <w:lang w:val="nl-NL"/>
        </w:rPr>
      </w:pPr>
      <w:r>
        <w:rPr>
          <w:lang w:val="nl-NL"/>
        </w:rPr>
      </w:r>
    </w:p>
    <w:p>
      <w:pPr>
        <w:pStyle w:val="T1"/>
        <w:jc w:val="start"/>
        <w:rPr>
          <w:lang w:val="nl-NL"/>
        </w:rPr>
      </w:pPr>
      <w:r>
        <w:rPr>
          <w:lang w:val="nl-NL"/>
        </w:rPr>
        <w:t>Samenstelling vulstem</w:t>
      </w:r>
    </w:p>
    <w:tbl>
      <w:tblPr>
        <w:tblW w:w="3188" w:type="dxa"/>
        <w:jc w:val="start"/>
        <w:tblInd w:w="-70" w:type="dxa"/>
        <w:tblLayout w:type="fixed"/>
        <w:tblCellMar>
          <w:top w:w="0" w:type="dxa"/>
          <w:start w:w="70" w:type="dxa"/>
          <w:bottom w:w="0" w:type="dxa"/>
          <w:end w:w="70" w:type="dxa"/>
        </w:tblCellMar>
      </w:tblPr>
      <w:tblGrid>
        <w:gridCol w:w="1023"/>
        <w:gridCol w:w="718"/>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jc w:val="start"/>
              <w:rPr/>
            </w:pPr>
            <w:r>
              <w:rPr/>
              <w:t>C</w:t>
            </w:r>
          </w:p>
          <w:p>
            <w:pPr>
              <w:pStyle w:val="T4dispositie"/>
              <w:jc w:val="start"/>
              <w:rPr/>
            </w:pPr>
            <w:r>
              <w:rPr/>
              <w:t>2</w:t>
            </w:r>
          </w:p>
          <w:p>
            <w:pPr>
              <w:pStyle w:val="T4dispositie"/>
              <w:jc w:val="start"/>
              <w:rPr/>
            </w:pPr>
            <w:r>
              <w:rPr/>
              <w:t>1 1/3</w:t>
            </w:r>
          </w:p>
          <w:p>
            <w:pPr>
              <w:pStyle w:val="T4dispositie"/>
              <w:jc w:val="start"/>
              <w:rPr/>
            </w:pPr>
            <w:r>
              <w:rPr/>
              <w:t>1</w:t>
            </w:r>
          </w:p>
          <w:p>
            <w:pPr>
              <w:pStyle w:val="T4dispositie"/>
              <w:jc w:val="start"/>
              <w:rPr/>
            </w:pPr>
            <w:r>
              <w:rPr/>
              <w:t>2/3</w:t>
            </w:r>
          </w:p>
        </w:tc>
        <w:tc>
          <w:tcPr>
            <w:tcW w:w="718" w:type="dxa"/>
            <w:tcBorders/>
          </w:tcPr>
          <w:p>
            <w:pPr>
              <w:pStyle w:val="T4dispositie"/>
              <w:jc w:val="start"/>
              <w:rPr/>
            </w:pPr>
            <w:r>
              <w:rPr/>
              <w:t>c</w:t>
            </w:r>
            <w:r>
              <w:rPr>
                <w:vertAlign w:val="superscript"/>
              </w:rPr>
              <w:t>1</w:t>
            </w:r>
          </w:p>
          <w:p>
            <w:pPr>
              <w:pStyle w:val="T4dispositie"/>
              <w:jc w:val="start"/>
              <w:rPr/>
            </w:pPr>
            <w:r>
              <w:rPr/>
              <w:t>2 2/3</w:t>
            </w:r>
          </w:p>
          <w:p>
            <w:pPr>
              <w:pStyle w:val="T4dispositie"/>
              <w:jc w:val="start"/>
              <w:rPr/>
            </w:pPr>
            <w:r>
              <w:rPr/>
              <w:t>2</w:t>
            </w:r>
          </w:p>
          <w:p>
            <w:pPr>
              <w:pStyle w:val="T4dispositie"/>
              <w:jc w:val="start"/>
              <w:rPr/>
            </w:pPr>
            <w:r>
              <w:rPr/>
              <w:t>1 1/3</w:t>
            </w:r>
          </w:p>
          <w:p>
            <w:pPr>
              <w:pStyle w:val="T4dispositie"/>
              <w:jc w:val="start"/>
              <w:rPr/>
            </w:pPr>
            <w:r>
              <w:rPr/>
              <w:t>1</w:t>
            </w:r>
          </w:p>
        </w:tc>
        <w:tc>
          <w:tcPr>
            <w:tcW w:w="729" w:type="dxa"/>
            <w:tcBorders/>
          </w:tcPr>
          <w:p>
            <w:pPr>
              <w:pStyle w:val="T4dispositie"/>
              <w:jc w:val="start"/>
              <w:rPr/>
            </w:pPr>
            <w:r>
              <w:rPr/>
              <w:t>c</w:t>
            </w:r>
            <w:r>
              <w:rPr>
                <w:vertAlign w:val="superscript"/>
              </w:rPr>
              <w:t>2</w:t>
            </w:r>
          </w:p>
          <w:p>
            <w:pPr>
              <w:pStyle w:val="T4dispositie"/>
              <w:jc w:val="start"/>
              <w:rPr/>
            </w:pPr>
            <w:r>
              <w:rPr/>
              <w:t>4</w:t>
            </w:r>
          </w:p>
          <w:p>
            <w:pPr>
              <w:pStyle w:val="T4dispositie"/>
              <w:jc w:val="start"/>
              <w:rPr/>
            </w:pPr>
            <w:r>
              <w:rPr/>
              <w:t>2 2/3</w:t>
            </w:r>
          </w:p>
          <w:p>
            <w:pPr>
              <w:pStyle w:val="T4dispositie"/>
              <w:jc w:val="start"/>
              <w:rPr/>
            </w:pPr>
            <w:r>
              <w:rPr/>
              <w:t>2</w:t>
            </w:r>
          </w:p>
          <w:p>
            <w:pPr>
              <w:pStyle w:val="T4dispositie"/>
              <w:jc w:val="start"/>
              <w:rPr/>
            </w:pPr>
            <w:r>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enkele vouw (1896)</w:t>
      </w:r>
    </w:p>
    <w:p>
      <w:pPr>
        <w:pStyle w:val="T1"/>
        <w:jc w:val="start"/>
        <w:rPr>
          <w:lang w:val="nl-NL"/>
        </w:rPr>
      </w:pPr>
      <w:r>
        <w:rPr>
          <w:lang w:val="nl-NL"/>
        </w:rPr>
        <w:t>Winddruk</w:t>
      </w:r>
    </w:p>
    <w:p>
      <w:pPr>
        <w:pStyle w:val="T1"/>
        <w:jc w:val="start"/>
        <w:rPr>
          <w:lang w:val="nl-NL"/>
        </w:rPr>
      </w:pPr>
      <w:r>
        <w:rPr>
          <w:lang w:val="nl-NL"/>
        </w:rPr>
        <w:t>81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registertrekkers, met porseleinen plaatjes op de knoppen, bevinden zich in een horizontale rij direct boven het handklavier. De knop voor de Subbas 16' bevindt zich links van het handklavier. Boven het klavier is een firmasignatuur aangebracht.</w:t>
      </w:r>
    </w:p>
    <w:p>
      <w:pPr>
        <w:pStyle w:val="T1"/>
        <w:jc w:val="start"/>
        <w:rPr/>
      </w:pPr>
      <w:r>
        <w:rPr>
          <w:lang w:val="nl-NL"/>
        </w:rPr>
        <w:t>De manuaallade is ingedeeld in hele tonen vanuit het midden aflopend met de C-zijde boven de klaviatuur. Voor de Subbas 16' is een (originele) lade aanwezig, bediend via lange walsen over de vloer van de orgelkas, met C-F en vervolgens beurtelings f-d</w:t>
      </w:r>
      <w:r>
        <w:rPr>
          <w:vertAlign w:val="superscript"/>
          <w:lang w:val="nl-NL"/>
        </w:rPr>
        <w:t>1</w:t>
      </w:r>
      <w:r>
        <w:rPr>
          <w:lang w:val="nl-NL"/>
        </w:rPr>
        <w:t xml:space="preserve"> en Fis-e in hele tonen vanuit het midden aflopend.</w:t>
      </w:r>
    </w:p>
    <w:p>
      <w:pPr>
        <w:pStyle w:val="T1"/>
        <w:jc w:val="start"/>
        <w:rPr/>
      </w:pPr>
      <w:r>
        <w:rPr>
          <w:lang w:val="nl-NL"/>
        </w:rPr>
        <w:t>In het front spreken F-d (torens) en e-h (middenveld) van de Prestant 8'; de buitenste zijvelden zijn loos. C-E van de Prestant 8' zijn gedekte houten pijpen, evenals de Subbas 16' en C-H van de Holpijp 8', alles uit 1896. De registers Quint 2 2/3', Roerfluit 4' en Mixtuur 4' st. dateren uit 1968. Het overige metalen binnenpijpwerk bestaat uit toegeleverd materiaal van 1896 met slagletters en zonder duidelijke labiumvorm. Op de houten pijpen en de frontpijpen zijn toonetiketten aangebracht. Expressions zijn toegepast bij de registers Prestant 8' (geheel), Octaaf 4' (C-f</w:t>
      </w:r>
      <w:r>
        <w:rPr>
          <w:vertAlign w:val="superscript"/>
          <w:lang w:val="nl-NL"/>
        </w:rPr>
        <w:t>2</w:t>
      </w:r>
      <w:r>
        <w:rPr>
          <w:lang w:val="nl-NL"/>
        </w:rPr>
        <w:t>) en Piccolo 2' (C-f</w:t>
      </w:r>
      <w:r>
        <w:rPr>
          <w:vertAlign w:val="superscript"/>
          <w:lang w:val="nl-NL"/>
        </w:rPr>
        <w:t>1</w:t>
      </w:r>
      <w:r>
        <w:rPr>
          <w:lang w:val="nl-NL"/>
        </w:rPr>
        <w:t>). De registers Quint 2 2/3' en Mixtuur hebben stemkrullen tot één-voets lengte. Van de Roerfluit 4' zijn gis</w:t>
      </w:r>
      <w:r>
        <w:rPr>
          <w:vertAlign w:val="superscript"/>
          <w:lang w:val="nl-NL"/>
        </w:rPr>
        <w:t>2</w:t>
      </w:r>
      <w:r>
        <w:rPr>
          <w:lang w:val="nl-NL"/>
        </w:rPr>
        <w:t>-f</w:t>
      </w:r>
      <w:r>
        <w:rPr>
          <w:vertAlign w:val="superscript"/>
          <w:lang w:val="nl-NL"/>
        </w:rPr>
        <w:t>3</w:t>
      </w:r>
      <w:r>
        <w:rPr>
          <w:lang w:val="nl-NL"/>
        </w:rPr>
        <w:t xml:space="preserve"> conisch, open.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2008-05-05T13:11:00Z</dcterms:created>
  <dc:creator>WS1</dc:creator>
  <dc:description/>
  <dc:language>en-US</dc:language>
  <cp:lastModifiedBy>NIvO</cp:lastModifiedBy>
  <dcterms:modified xsi:type="dcterms:W3CDTF">2008-06-24T13:02:00Z</dcterms:modified>
  <cp:revision>3</cp:revision>
  <dc:subject/>
  <dc:title>Lunteren/ca 1845</dc:title>
</cp:coreProperties>
</file>