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Nederhorst den Berg / 1896</w:t>
      </w:r>
    </w:p>
    <w:p>
      <w:pPr>
        <w:pStyle w:val="Heading2"/>
        <w:rPr>
          <w:i w:val="false"/>
          <w:i w:val="false"/>
          <w:iCs/>
        </w:rPr>
      </w:pPr>
      <w:r>
        <w:rPr>
          <w:i w:val="false"/>
          <w:iCs/>
        </w:rPr>
        <w:t>R.K. Kerk. H. Maria Tenhemelopneming</w:t>
      </w:r>
    </w:p>
    <w:p>
      <w:pPr>
        <w:pStyle w:val="T1"/>
        <w:jc w:val="start"/>
        <w:rPr>
          <w:i/>
          <w:i/>
          <w:iCs/>
          <w:lang w:val="nl-NL"/>
        </w:rPr>
      </w:pPr>
      <w:r>
        <w:rPr>
          <w:i/>
          <w:iCs/>
          <w:lang w:val="nl-NL"/>
        </w:rPr>
      </w:r>
    </w:p>
    <w:p>
      <w:pPr>
        <w:pStyle w:val="T1"/>
        <w:jc w:val="start"/>
        <w:rPr>
          <w:i/>
          <w:i/>
          <w:iCs/>
          <w:lang w:val="nl-NL"/>
        </w:rPr>
      </w:pPr>
      <w:r>
        <w:rPr>
          <w:i/>
          <w:iCs/>
          <w:lang w:val="nl-NL"/>
        </w:rPr>
        <w:t>Neogotische driebeukige kruiskerk met driezijdig gesloten koor, gebouwd in 1888-1889 naar ontwerp van Y. Bijvoets. Dakruiter en een toren van vier geledingen met frontalen, hoekpinakels en naaldspits. Communiebank uit 1866, Maria-altaar uit 1902 en kruiswegstaties van K. Dunselman uit 1902-1908.</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Het orgel is op een balkon in het linkertransept geplaatst. Het neogotische instrument past daarom behalve qua stijl ook qua geest bij het kerkgebouw, waarin alles vanuit de denkrichting naar het altaar is geplaatst. </w:t>
      </w:r>
      <w:r>
        <w:rPr/>
        <w:t xml:space="preserve">Bovendien hebben het licht en de koorzang in deze situatie de ruimte. </w:t>
      </w:r>
      <w:r>
        <w:rPr>
          <w:lang w:val="nl-NL"/>
        </w:rPr>
        <w:t xml:space="preserve">Het front lijkt sterk op dat van Kortenhoef (1897) dat uit twee delen bestond die later zijn samengevoegd. De hoektoren heeft een gelijke ronde vorm, steekt uit en is hier gedecoreerd met een tootlijst aan de onderzijde en een rijk versierde spits met hogels en enkele pinakels aan de bovenzijde. </w:t>
      </w:r>
      <w:r>
        <w:rPr/>
        <w:t xml:space="preserve">De korte zijde van het orgel kent behalve de hoektoren een gedeelde spitse middentoren, die extra spits oogt doordat de pijpuiteinden zijn geblindeerd met oplopende driehoeksvormen. </w:t>
      </w:r>
      <w:r>
        <w:rPr>
          <w:lang w:val="nl-NL"/>
        </w:rPr>
        <w:t xml:space="preserve">De middentoren wordt geflankeerd door twee zijvelden, die onderaan schuin weglopen en bovenaan met een halfronde boog. De middentoren is bekroond met wat pinakels en een kruisbloem. </w:t>
      </w:r>
      <w:r>
        <w:rPr/>
        <w:t>De onderkas is versierd met gotische vierpassen, en aan de bovenzijde nog voorzien van een kanteellijst, die langs de lange zijde van het orgel doorloopt. De lange zijde kent verder nog wat traceerwerk aan de bovenkant, maar is voorts slechts strak uitgevoerd met panelen.</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Jan Jongepier, Hans van Nieuwkoop, Willem Poot, </w:t>
      </w:r>
      <w:r>
        <w:rPr>
          <w:i/>
          <w:iCs/>
          <w:lang w:val="nl-NL"/>
        </w:rPr>
        <w:t>Orgels in Noord-Holland</w:t>
      </w:r>
      <w:r>
        <w:rPr>
          <w:lang w:val="nl-NL"/>
        </w:rPr>
        <w:t>. Schoorl z.j. [1996], 228.</w:t>
      </w:r>
    </w:p>
    <w:p>
      <w:pPr>
        <w:pStyle w:val="T3Lit"/>
        <w:jc w:val="start"/>
        <w:rPr/>
      </w:pPr>
      <w:r>
        <w:rPr>
          <w:i/>
          <w:iCs/>
          <w:lang w:val="nl-NL"/>
        </w:rPr>
        <w:t>Het Orgel</w:t>
      </w:r>
      <w:r>
        <w:rPr>
          <w:lang w:val="nl-NL"/>
        </w:rPr>
        <w:t>, 11/5 (1896), 63.</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T1"/>
        <w:jc w:val="start"/>
        <w:rPr>
          <w:lang w:val="nl-NL"/>
        </w:rPr>
      </w:pPr>
      <w:r>
        <w:rPr>
          <w:lang w:val="nl-NL"/>
        </w:rPr>
        <w:t>J.J. Elbertse &amp; Zn 1981</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nieuwe magazijnbalg</w:t>
      </w:r>
    </w:p>
    <w:p>
      <w:pPr>
        <w:pStyle w:val="T1"/>
        <w:numPr>
          <w:ilvl w:val="0"/>
          <w:numId w:val="2"/>
        </w:numPr>
        <w:jc w:val="start"/>
        <w:rPr>
          <w:lang w:val="nl-NL"/>
        </w:rPr>
      </w:pPr>
      <w:r>
        <w:rPr>
          <w:lang w:val="nl-NL"/>
        </w:rPr>
        <w:t>pneumatische tractuur vervangen door elektropneumatiek</w:t>
      </w:r>
    </w:p>
    <w:p>
      <w:pPr>
        <w:pStyle w:val="T1"/>
        <w:numPr>
          <w:ilvl w:val="0"/>
          <w:numId w:val="2"/>
        </w:numPr>
        <w:jc w:val="start"/>
        <w:rPr>
          <w:lang w:val="nl-NL"/>
        </w:rPr>
      </w:pPr>
      <w:r>
        <w:rPr>
          <w:lang w:val="nl-NL"/>
        </w:rPr>
        <w:t>nieuwe speeltafel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394" w:type="dxa"/>
        <w:jc w:val="start"/>
        <w:tblInd w:w="-70" w:type="dxa"/>
        <w:tblLayout w:type="fixed"/>
        <w:tblCellMar>
          <w:top w:w="0" w:type="dxa"/>
          <w:start w:w="70" w:type="dxa"/>
          <w:bottom w:w="0" w:type="dxa"/>
          <w:end w:w="70" w:type="dxa"/>
        </w:tblCellMar>
      </w:tblPr>
      <w:tblGrid>
        <w:gridCol w:w="1330"/>
        <w:gridCol w:w="720"/>
        <w:gridCol w:w="1440"/>
        <w:gridCol w:w="573"/>
        <w:gridCol w:w="700"/>
        <w:gridCol w:w="631"/>
      </w:tblGrid>
      <w:tr>
        <w:trPr/>
        <w:tc>
          <w:tcPr>
            <w:tcW w:w="133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pPr>
            <w:r>
              <w:rPr>
                <w:lang w:val="nl-NL"/>
              </w:rPr>
              <w:t>Roerflu</w:t>
            </w:r>
            <w:r>
              <w:rPr>
                <w:lang w:val="fr-FR"/>
              </w:rPr>
              <w:t>it</w:t>
            </w:r>
          </w:p>
          <w:p>
            <w:pPr>
              <w:pStyle w:val="T4dispositie"/>
              <w:jc w:val="start"/>
              <w:rPr>
                <w:lang w:val="fr-FR"/>
              </w:rPr>
            </w:pPr>
            <w:r>
              <w:rPr>
                <w:lang w:val="fr-FR"/>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8'</w:t>
            </w:r>
          </w:p>
        </w:tc>
        <w:tc>
          <w:tcPr>
            <w:tcW w:w="1440" w:type="dxa"/>
            <w:tcBorders/>
          </w:tcPr>
          <w:p>
            <w:pPr>
              <w:pStyle w:val="T4dispositie"/>
              <w:jc w:val="start"/>
              <w:rPr>
                <w:i/>
                <w:i/>
                <w:lang w:val="nl-NL"/>
              </w:rPr>
            </w:pPr>
            <w:r>
              <w:rPr>
                <w:i/>
                <w:lang w:val="nl-NL"/>
              </w:rPr>
              <w:t>Nevenwerk (II)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en-GB"/>
              </w:rPr>
            </w:pPr>
            <w:r>
              <w:rPr>
                <w:lang w:val="en-GB"/>
              </w:rPr>
              <w:t>Holpijp</w:t>
            </w:r>
          </w:p>
          <w:p>
            <w:pPr>
              <w:pStyle w:val="T4dispositie"/>
              <w:jc w:val="start"/>
              <w:rPr>
                <w:lang w:val="en-GB"/>
              </w:rPr>
            </w:pPr>
            <w:r>
              <w:rPr>
                <w:lang w:val="en-GB"/>
              </w:rPr>
              <w:t>Salicionaal</w:t>
            </w:r>
          </w:p>
          <w:p>
            <w:pPr>
              <w:pStyle w:val="T4dispositie"/>
              <w:jc w:val="start"/>
              <w:rPr>
                <w:lang w:val="en-GB"/>
              </w:rPr>
            </w:pPr>
            <w:r>
              <w:rPr>
                <w:lang w:val="en-GB"/>
              </w:rPr>
              <w:t>Viola di Gamba</w:t>
            </w:r>
          </w:p>
          <w:p>
            <w:pPr>
              <w:pStyle w:val="T4dispositie"/>
              <w:jc w:val="start"/>
              <w:rPr>
                <w:lang w:val="en-GB"/>
              </w:rPr>
            </w:pPr>
            <w:r>
              <w:rPr>
                <w:lang w:val="en-GB"/>
              </w:rPr>
              <w:t>Roerfluit</w:t>
            </w:r>
          </w:p>
        </w:tc>
        <w:tc>
          <w:tcPr>
            <w:tcW w:w="573"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700" w:type="dxa"/>
            <w:tcBorders/>
          </w:tcPr>
          <w:p>
            <w:pPr>
              <w:pStyle w:val="T4dispositie"/>
              <w:jc w:val="start"/>
              <w:rPr>
                <w:i/>
                <w:i/>
                <w:lang w:val="nl-NL"/>
              </w:rPr>
            </w:pPr>
            <w:r>
              <w:rPr>
                <w:i/>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en-GB"/>
              </w:rPr>
            </w:pPr>
            <w:r>
              <w:rPr>
                <w:lang w:val="en-GB"/>
              </w:rPr>
              <w:t>Subbas</w:t>
            </w:r>
          </w:p>
        </w:tc>
        <w:tc>
          <w:tcPr>
            <w:tcW w:w="631"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en-GB"/>
        </w:rPr>
      </w:pPr>
      <w:r>
        <w:rPr>
          <w:lang w:val="en-GB"/>
        </w:rPr>
        <w:t>koppeling I-II, Ped-I, Ped-II</w:t>
      </w:r>
    </w:p>
    <w:p>
      <w:pPr>
        <w:pStyle w:val="T1"/>
        <w:jc w:val="start"/>
        <w:rPr>
          <w:lang w:val="nl-NL"/>
        </w:rPr>
      </w:pPr>
      <w:r>
        <w:rPr>
          <w:lang w:val="nl-NL"/>
        </w:rPr>
        <w:t>vaste combinaties P-MF-T-Oplosser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(1981) met regulateur (1896)</w:t>
      </w:r>
    </w:p>
    <w:p>
      <w:pPr>
        <w:pStyle w:val="T1"/>
        <w:jc w:val="start"/>
        <w:rPr>
          <w:lang w:val="nl-NL"/>
        </w:rPr>
      </w:pPr>
      <w:r>
        <w:rPr>
          <w:lang w:val="nl-NL"/>
        </w:rPr>
        <w:t>Winddruk</w:t>
      </w:r>
    </w:p>
    <w:p>
      <w:pPr>
        <w:pStyle w:val="T1"/>
        <w:jc w:val="start"/>
        <w:rPr>
          <w:lang w:val="nl-NL"/>
        </w:rPr>
      </w:pPr>
      <w:r>
        <w:rPr>
          <w:lang w:val="nl-NL"/>
        </w:rPr>
        <w:t>86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op de begane grond</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pijpwerk staat op een gecombineerde windlade die dwars op het front is geplaatst. Op deze lade staat het HW vooraan en het NW daarachter.</w:t>
      </w:r>
    </w:p>
    <w:p>
      <w:pPr>
        <w:pStyle w:val="T1"/>
        <w:jc w:val="start"/>
        <w:rPr>
          <w:lang w:val="nl-NL"/>
        </w:rPr>
      </w:pPr>
      <w:r>
        <w:rPr>
          <w:lang w:val="nl-NL"/>
        </w:rPr>
        <w:t>C-h van de Bourdon 16' (HW) zijn van hout; daarvan staan C-H langs de linkerzijwand en c-h tegen de achterwand. De discant is van metaal. De Prestant 8' staat van C-d in het front; het bovenveld van het front is loos. C-H van de Roerfluit 8' zijn van hout (gedekt), het vervolg is van metaal, met roeren. De Trompet 8' is voorzien van metalen stevels en koppen.</w:t>
      </w:r>
    </w:p>
    <w:p>
      <w:pPr>
        <w:pStyle w:val="T1"/>
        <w:jc w:val="start"/>
        <w:rPr>
          <w:lang w:val="nl-NL"/>
        </w:rPr>
      </w:pPr>
      <w:r>
        <w:rPr>
          <w:lang w:val="nl-NL"/>
        </w:rPr>
        <w:t>De Viola di Gamba 8' van het NW is van C-H gecombineerd met de Salicionaal 8'. C-H van de Holpijp 8' zijn van hout. Het hoogste octaaf van de Roerfluit 4' is open, conisch.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2008-05-05T13:13:00Z</dcterms:created>
  <dc:creator>WS1</dc:creator>
  <dc:description/>
  <dc:language>en-US</dc:language>
  <cp:lastModifiedBy>NIvO</cp:lastModifiedBy>
  <dcterms:modified xsi:type="dcterms:W3CDTF">2008-06-24T13:09:00Z</dcterms:modified>
  <cp:revision>3</cp:revision>
  <dc:subject/>
  <dc:title>Kockengen / 1884</dc:title>
</cp:coreProperties>
</file>