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Norg / 1896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halfrond gesloten koor en ongelede zadeldaktoren in aanleg uit de 13e eeuw. De kerk werd in 1837 gewijzigd en in 1969-1971 gerestaureerd onder leiding van P.L. de Vrieze. In het schip een balkenplafond; in het koor een ribgewelf. Doopvont uit de 13e eeuw; preekstoel uit 1678 en herenbank uit 1724.</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rFonts w:ascii="CG Times;Times New Roman" w:hAnsi="CG Times;Times New Roman" w:cs="CG Times;Times New Roman"/>
          <w:szCs w:val="24"/>
          <w:lang w:val="nl-NL"/>
        </w:rPr>
      </w:pPr>
      <w:r>
        <w:rPr/>
        <w:t xml:space="preserve">Een eenvoudig instrument, dat door de kleurstelling toch een rijke indruk maakt. Het diep donkere blauwgroen wordt fraai geaccentueerd met bladgoud. </w:t>
      </w:r>
      <w:r>
        <w:rPr>
          <w:lang w:val="nl-NL"/>
        </w:rPr>
        <w:t>Dit ter markering van het lijstwerk, de inkassingen, voluutvormen, knoppen en het rankwerk. Deze versieringen vertonen vrij grote gelijkenis en zijn aangebracht aan onderzijde en bovenzijde van de pijpuiteinden. Op eenzelfde wijze zijn de zeer kleine vleugelstukken van bladgoud voorzien, waarmee ook dat element toch nog enige nadruk krijgt. Het orgel heeft een opbouw met een verlaagde middentoren, hoge zijtorens en tussenvelden op verhoogde pijpstokken. Een opstelling die niet zeer gebruikelijk is, maar wel verwant aan de opzet van bijvoorbeeld het onderpositief van het Leichel-orgel te Wognum (1892, deel 1886-1894, 287-289).</w:t>
      </w:r>
    </w:p>
    <w:p>
      <w:pPr>
        <w:pStyle w:val="T2Kunst"/>
        <w:jc w:val="start"/>
        <w:rPr>
          <w:rFonts w:ascii="CG Times;Times New Roman" w:hAnsi="CG Times;Times New Roman" w:cs="CG Times;Times New Roman"/>
          <w:szCs w:val="24"/>
          <w:lang w:val="nl-NL"/>
        </w:rPr>
      </w:pPr>
      <w:r>
        <w:rPr>
          <w:rFonts w:cs="CG Times;Times New Roman" w:ascii="CG Times;Times New Roman" w:hAnsi="CG Times;Times New Roman"/>
          <w:szCs w:val="24"/>
          <w:lang w:val="nl-NL"/>
        </w:rPr>
      </w:r>
    </w:p>
    <w:p>
      <w:pPr>
        <w:pStyle w:val="T3Lit"/>
        <w:jc w:val="start"/>
        <w:rPr>
          <w:b/>
          <w:b/>
          <w:bCs/>
          <w:lang w:val="nl-NL"/>
        </w:rPr>
      </w:pPr>
      <w:r>
        <w:rPr>
          <w:b/>
          <w:bCs/>
          <w:lang w:val="nl-NL"/>
        </w:rPr>
        <w:t>Literatuur</w:t>
      </w:r>
    </w:p>
    <w:p>
      <w:pPr>
        <w:pStyle w:val="T3Lit"/>
        <w:jc w:val="start"/>
        <w:rPr/>
      </w:pPr>
      <w:r>
        <w:rPr>
          <w:lang w:val="nl-NL"/>
        </w:rPr>
        <w:t xml:space="preserve">Jaap Brouwer, ‘De orgelmakers Leichel. Afl. 2 Pingjum en Norg.’ </w:t>
      </w:r>
      <w:r>
        <w:rPr>
          <w:i/>
          <w:iCs/>
          <w:lang w:val="nl-NL"/>
        </w:rPr>
        <w:t>D</w:t>
      </w:r>
      <w:r>
        <w:rPr>
          <w:i/>
          <w:lang w:val="nl-NL"/>
        </w:rPr>
        <w:t>e Orgelvriend,</w:t>
      </w:r>
      <w:r>
        <w:rPr>
          <w:lang w:val="nl-NL"/>
        </w:rPr>
        <w:t xml:space="preserve"> 49/7-8 (2007), 34-38.</w:t>
      </w:r>
    </w:p>
    <w:p>
      <w:pPr>
        <w:pStyle w:val="T3Lit"/>
        <w:jc w:val="start"/>
        <w:rPr/>
      </w:pPr>
      <w:r>
        <w:rPr>
          <w:i/>
          <w:iCs/>
          <w:lang w:val="nl-NL"/>
        </w:rPr>
        <w:t>Kerkelijke Courant</w:t>
      </w:r>
      <w:r>
        <w:rPr>
          <w:lang w:val="nl-NL"/>
        </w:rPr>
        <w:t>, 50/41 (1896).</w:t>
      </w:r>
    </w:p>
    <w:p>
      <w:pPr>
        <w:pStyle w:val="T3Lit"/>
        <w:jc w:val="start"/>
        <w:rPr/>
      </w:pPr>
      <w:r>
        <w:rPr>
          <w:lang w:val="nl-NL"/>
        </w:rPr>
        <w:t xml:space="preserve">W. v.d. Meulen, </w:t>
      </w:r>
      <w:r>
        <w:rPr>
          <w:i/>
          <w:lang w:val="nl-NL"/>
        </w:rPr>
        <w:t>Groot onderhoud aan het Friedrich Leichel-orgel</w:t>
      </w:r>
      <w:r>
        <w:rPr>
          <w:lang w:val="nl-NL"/>
        </w:rPr>
        <w:t>, Norg, 2005.</w:t>
      </w:r>
    </w:p>
    <w:p>
      <w:pPr>
        <w:pStyle w:val="T3Lit"/>
        <w:jc w:val="start"/>
        <w:rPr>
          <w:lang w:val="nl-NL"/>
        </w:rPr>
      </w:pPr>
      <w:r>
        <w:rPr>
          <w:lang w:val="nl-NL"/>
        </w:rPr>
      </w:r>
    </w:p>
    <w:p>
      <w:pPr>
        <w:pStyle w:val="T3Lit"/>
        <w:jc w:val="start"/>
        <w:rPr>
          <w:bCs/>
          <w:lang w:val="nl-NL"/>
        </w:rPr>
      </w:pPr>
      <w:r>
        <w:rPr>
          <w:bCs/>
          <w:lang w:val="nl-NL"/>
        </w:rPr>
        <w:t>Monumentnummer 30783</w:t>
      </w:r>
    </w:p>
    <w:p>
      <w:pPr>
        <w:pStyle w:val="T3Lit"/>
        <w:jc w:val="start"/>
        <w:rPr>
          <w:lang w:val="nl-NL"/>
        </w:rPr>
      </w:pPr>
      <w:r>
        <w:rPr>
          <w:bCs/>
          <w:lang w:val="nl-NL"/>
        </w:rPr>
        <w:t>Orgelnummer 1103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 Leichel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Mense Ruiter 1969</w:t>
      </w:r>
    </w:p>
    <w:p>
      <w:pPr>
        <w:pStyle w:val="T1"/>
        <w:numPr>
          <w:ilvl w:val="0"/>
          <w:numId w:val="2"/>
        </w:numPr>
        <w:jc w:val="start"/>
        <w:rPr>
          <w:lang w:val="nl-NL"/>
        </w:rPr>
      </w:pPr>
      <w:r>
        <w:rPr>
          <w:lang w:val="nl-NL"/>
        </w:rPr>
        <w:t>orgel gedemonteerd in verband met kerkrestauratie</w:t>
      </w:r>
    </w:p>
    <w:p>
      <w:pPr>
        <w:pStyle w:val="T1"/>
        <w:jc w:val="start"/>
        <w:rPr>
          <w:lang w:val="nl-NL"/>
        </w:rPr>
      </w:pPr>
      <w:r>
        <w:rPr>
          <w:lang w:val="nl-NL"/>
        </w:rPr>
      </w:r>
    </w:p>
    <w:p>
      <w:pPr>
        <w:pStyle w:val="T1"/>
        <w:jc w:val="start"/>
        <w:rPr>
          <w:lang w:val="nl-NL"/>
        </w:rPr>
      </w:pPr>
      <w:r>
        <w:rPr>
          <w:lang w:val="nl-NL"/>
        </w:rPr>
        <w:t>Mense Ruiter 1971</w:t>
      </w:r>
    </w:p>
    <w:p>
      <w:pPr>
        <w:pStyle w:val="T1"/>
        <w:numPr>
          <w:ilvl w:val="0"/>
          <w:numId w:val="2"/>
        </w:numPr>
        <w:jc w:val="start"/>
        <w:rPr>
          <w:lang w:val="nl-NL"/>
        </w:rPr>
      </w:pPr>
      <w:r>
        <w:rPr>
          <w:lang w:val="nl-NL"/>
        </w:rPr>
        <w:t>orgel herplaatst na kerkrestauratie</w:t>
      </w:r>
    </w:p>
    <w:p>
      <w:pPr>
        <w:pStyle w:val="T1"/>
        <w:numPr>
          <w:ilvl w:val="0"/>
          <w:numId w:val="2"/>
        </w:numPr>
        <w:jc w:val="start"/>
        <w:rPr>
          <w:lang w:val="nl-NL"/>
        </w:rPr>
      </w:pPr>
      <w:r>
        <w:rPr>
          <w:lang w:val="nl-NL"/>
        </w:rPr>
        <w:t>schepbalgen buiten werking gesteld</w:t>
      </w:r>
    </w:p>
    <w:p>
      <w:pPr>
        <w:pStyle w:val="T1"/>
        <w:jc w:val="start"/>
        <w:rPr>
          <w:lang w:val="nl-NL"/>
        </w:rPr>
      </w:pPr>
      <w:r>
        <w:rPr>
          <w:lang w:val="nl-NL"/>
        </w:rPr>
      </w:r>
    </w:p>
    <w:p>
      <w:pPr>
        <w:pStyle w:val="T1"/>
        <w:jc w:val="start"/>
        <w:rPr>
          <w:lang w:val="nl-NL"/>
        </w:rPr>
      </w:pPr>
      <w:r>
        <w:rPr>
          <w:lang w:val="nl-NL"/>
        </w:rPr>
        <w:t>Lokale vrijwilligers met advies van R. Nijsse 2005</w:t>
      </w:r>
    </w:p>
    <w:p>
      <w:pPr>
        <w:pStyle w:val="T1"/>
        <w:numPr>
          <w:ilvl w:val="0"/>
          <w:numId w:val="3"/>
        </w:numPr>
        <w:jc w:val="start"/>
        <w:rPr>
          <w:lang w:val="nl-NL"/>
        </w:rPr>
      </w:pPr>
      <w:r>
        <w:rPr>
          <w:lang w:val="nl-NL"/>
        </w:rPr>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690"/>
        <w:gridCol w:w="618"/>
      </w:tblGrid>
      <w:tr>
        <w:trPr/>
        <w:tc>
          <w:tcPr>
            <w:tcW w:w="1690"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Dolce</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 Harmonique</w:t>
            </w:r>
          </w:p>
          <w:p>
            <w:pPr>
              <w:pStyle w:val="T4dispositie"/>
              <w:jc w:val="start"/>
              <w:rPr>
                <w:lang w:val="nl-NL"/>
              </w:rPr>
            </w:pPr>
            <w:r>
              <w:rPr>
                <w:lang w:val="nl-NL"/>
              </w:rPr>
              <w:t>Octaaf</w:t>
            </w:r>
          </w:p>
          <w:p>
            <w:pPr>
              <w:pStyle w:val="T4dispositie"/>
              <w:jc w:val="start"/>
              <w:rPr>
                <w:lang w:val="nl-NL"/>
              </w:rPr>
            </w:pPr>
            <w:r>
              <w:rPr>
                <w:lang w:val="nl-NL"/>
              </w:rPr>
              <w:t>Trompet</w:t>
            </w:r>
          </w:p>
        </w:tc>
        <w:tc>
          <w:tcPr>
            <w:tcW w:w="618"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r>
              <w:rPr/>
              <w:t>'</w:t>
            </w:r>
          </w:p>
          <w:p>
            <w:pPr>
              <w:pStyle w:val="T4dispositie"/>
              <w:jc w:val="start"/>
              <w:rPr>
                <w:lang w:val="en-GB"/>
              </w:rPr>
            </w:pPr>
            <w:r>
              <w:rPr>
                <w:lang w:val="en-GB"/>
              </w:rPr>
              <w:t>8</w:t>
            </w:r>
            <w:r>
              <w:rPr/>
              <w:t>'</w:t>
            </w:r>
          </w:p>
          <w:p>
            <w:pPr>
              <w:pStyle w:val="T4dispositie"/>
              <w:jc w:val="start"/>
              <w:rPr>
                <w:lang w:val="en-GB"/>
              </w:rPr>
            </w:pPr>
            <w:r>
              <w:rPr>
                <w:lang w:val="en-GB"/>
              </w:rPr>
              <w:t>8</w:t>
            </w:r>
            <w:r>
              <w:rPr/>
              <w:t>'</w:t>
            </w:r>
          </w:p>
          <w:p>
            <w:pPr>
              <w:pStyle w:val="T4dispositie"/>
              <w:jc w:val="start"/>
              <w:rPr/>
            </w:pPr>
            <w:r>
              <w:rPr/>
              <w:t>8</w:t>
            </w:r>
          </w:p>
          <w:p>
            <w:pPr>
              <w:pStyle w:val="T4dispositie"/>
              <w:jc w:val="start"/>
              <w:rPr>
                <w:lang w:val="en-GB"/>
              </w:rPr>
            </w:pPr>
            <w:r>
              <w:rPr/>
              <w:t>8'</w:t>
            </w:r>
          </w:p>
          <w:p>
            <w:pPr>
              <w:pStyle w:val="T4dispositie"/>
              <w:jc w:val="start"/>
              <w:rPr>
                <w:lang w:val="en-GB"/>
              </w:rPr>
            </w:pPr>
            <w:r>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regulateur (1896)</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De kas is van vurenhout. </w:t>
      </w:r>
      <w:r>
        <w:rPr/>
        <w:t xml:space="preserve">De windvoorziening bevindt zich in een balghuis direct achter het orgel. </w:t>
      </w:r>
      <w:r>
        <w:rPr>
          <w:lang w:val="nl-NL"/>
        </w:rPr>
        <w:t>Bij de bouw heeft Leichel diverse bestaande onderdelen (uit voorraad) gebruikt; zo dateert de regulateurbalg uit 1893 en één van de schepbalgen uit 1894. Magazijnbalg en regulateurbalg hebben beide één inspringende vouw. Handbediening van de schepbalgen is niet meer mogelijk, de hefboom is gedemonteerd. De tremulant is inliggend.</w:t>
      </w:r>
    </w:p>
    <w:p>
      <w:pPr>
        <w:pStyle w:val="T1"/>
        <w:jc w:val="start"/>
        <w:rPr>
          <w:lang w:val="nl-NL"/>
        </w:rPr>
      </w:pPr>
      <w:r>
        <w:rPr>
          <w:lang w:val="nl-NL"/>
        </w:rPr>
        <w:t>De speeltafel doet denken aan grote Franse drukwindharmoniums (bijvoorbeeld Alexandre) en heeft een scharnierdeksel. De registertrekkers bevinden zich in een horizontale rij aan weerszijden van het klavier. Links van links naar rechts Octaaf 2', Fluit Harmonique 4', Octaaf 4', Roerfluit 8'; daaronder een knop Trompet 8'. Rechts: Dolce 8', Viola di Gamba 8', Bourdon 16', Prestant 8'; daaronder de knop voor Tremulant. Daarnaast zijn er een ijzeren forte-, c.q. tuttitrede. De fortetrede bedient Prestant 8', Viola di Gamba 8', Dolce 8', Roerfluit 8' en Octaaf 4'.</w:t>
      </w:r>
    </w:p>
    <w:p>
      <w:pPr>
        <w:pStyle w:val="T1"/>
        <w:jc w:val="start"/>
        <w:rPr/>
      </w:pPr>
      <w:r>
        <w:rPr>
          <w:lang w:val="nl-NL"/>
        </w:rPr>
        <w:t xml:space="preserve">Het pijpwerk staat op twee laagliggende mechanische kegelladen (C- en Cis-lade, C- lade links) met de grootste pijpen aan de zijkanten en dan naar het midden in hele tonen aflopend. </w:t>
      </w:r>
      <w:r>
        <w:rPr/>
        <w:t>Tussen beide lades bevindt zich de aansluiting op het  windkanaal.</w:t>
      </w:r>
    </w:p>
    <w:p>
      <w:pPr>
        <w:pStyle w:val="T1"/>
        <w:jc w:val="start"/>
        <w:rPr/>
      </w:pPr>
      <w:r>
        <w:rPr/>
        <w:t xml:space="preserve">Het metalen pijpwerk is afkomstig van een Duits toeleveringsbedrijf. Het houten pijpwerk is gemaakt van grenenhout. Tenzij anders aangegeven heeft het metalen binnenpijpwerk een spitsboog gekrast bovenlabium en een rond gekrast onderlabium. </w:t>
      </w:r>
      <w:r>
        <w:rPr>
          <w:lang w:val="nl-NL"/>
        </w:rPr>
        <w:t xml:space="preserve">C-h van de </w:t>
      </w:r>
      <w:r>
        <w:rPr>
          <w:bCs/>
          <w:lang w:val="nl-NL"/>
        </w:rPr>
        <w:t xml:space="preserve">Bourdon 16' zijn van </w:t>
      </w:r>
      <w:r>
        <w:rPr>
          <w:lang w:val="nl-NL"/>
        </w:rPr>
        <w:t>hout, de discant is van metaal, gedekt. C-f</w:t>
      </w:r>
      <w:r>
        <w:rPr>
          <w:vertAlign w:val="superscript"/>
          <w:lang w:val="nl-NL"/>
        </w:rPr>
        <w:t>1</w:t>
      </w:r>
      <w:r>
        <w:rPr>
          <w:lang w:val="nl-NL"/>
        </w:rPr>
        <w:t xml:space="preserve"> van de Prestant 8' staan in front, de overige pijpen staan op de lade. </w:t>
      </w:r>
      <w:r>
        <w:rPr/>
        <w:t xml:space="preserve">Het hele register heeft expressions. </w:t>
      </w:r>
      <w:r>
        <w:rPr>
          <w:lang w:val="nl-NL"/>
        </w:rPr>
        <w:t>C-H van de Viola di Gamba 8' en Dolce 8' zijn van hout (gedekt), c-f</w:t>
      </w:r>
      <w:r>
        <w:rPr>
          <w:vertAlign w:val="superscript"/>
          <w:lang w:val="nl-NL"/>
        </w:rPr>
        <w:t>3</w:t>
      </w:r>
      <w:r>
        <w:rPr>
          <w:lang w:val="nl-NL"/>
        </w:rPr>
        <w:t xml:space="preserve"> zijn van metaal met geperste labia en expressions. C-H van de Roerfluit 4' zijn van hout (gedekt), het vervolg is van metaal met roeren. De Octaaf 4' is geheel van metaal en heeft expressions tot en met f</w:t>
      </w:r>
      <w:r>
        <w:rPr>
          <w:vertAlign w:val="superscript"/>
          <w:lang w:val="nl-NL"/>
        </w:rPr>
        <w:t>2</w:t>
      </w:r>
      <w:r>
        <w:rPr>
          <w:lang w:val="nl-NL"/>
        </w:rPr>
        <w:t xml:space="preserve"> en verder stemkrullen. De Fluit Harmonique 4' is geheel van metaal (open) met expressions; in de discant overblazend. De Octaaf 2' is van metaal; C-d</w:t>
      </w:r>
      <w:r>
        <w:rPr>
          <w:vertAlign w:val="superscript"/>
          <w:lang w:val="nl-NL"/>
        </w:rPr>
        <w:t>1</w:t>
      </w:r>
      <w:r>
        <w:rPr>
          <w:lang w:val="nl-NL"/>
        </w:rPr>
        <w:t xml:space="preserve"> met expressions, dis</w:t>
      </w:r>
      <w:r>
        <w:rPr>
          <w:vertAlign w:val="superscript"/>
          <w:lang w:val="nl-NL"/>
        </w:rPr>
        <w:t>1</w:t>
      </w:r>
      <w:r>
        <w:rPr>
          <w:lang w:val="nl-NL"/>
        </w:rPr>
        <w:t>-f</w:t>
      </w:r>
      <w:r>
        <w:rPr>
          <w:vertAlign w:val="superscript"/>
          <w:lang w:val="nl-NL"/>
        </w:rPr>
        <w:t>2</w:t>
      </w:r>
      <w:r>
        <w:rPr>
          <w:lang w:val="nl-NL"/>
        </w:rPr>
        <w:t xml:space="preserve"> met stemkrul en verder op lengte. De Trompet 8' heeft zinken stevels en metalen bekers met intoneerlappen.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2008-05-05T13:14:00Z</dcterms:created>
  <dc:creator>WS1</dc:creator>
  <dc:description/>
  <dc:language>en-US</dc:language>
  <cp:lastModifiedBy>NIvO</cp:lastModifiedBy>
  <dcterms:modified xsi:type="dcterms:W3CDTF">2008-06-24T13:10:00Z</dcterms:modified>
  <cp:revision>3</cp:revision>
  <dc:subject/>
  <dc:title>Heumen / ca 1860</dc:title>
</cp:coreProperties>
</file>