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jc w:val="both"/>
        <w:rPr/>
      </w:pPr>
      <w:r>
        <w:rPr/>
        <w:t>Oudebildtzijl (Aldebiltsyl) / 1896</w:t>
      </w:r>
    </w:p>
    <w:p>
      <w:pPr>
        <w:pStyle w:val="Heading2"/>
        <w:jc w:val="both"/>
        <w:rPr>
          <w:i w:val="false"/>
          <w:i w:val="false"/>
          <w:iCs/>
        </w:rPr>
      </w:pPr>
      <w:r>
        <w:rPr>
          <w:i w:val="false"/>
          <w:iCs/>
        </w:rPr>
        <w:t>Voormalige Doopsgezinde Kerk</w:t>
      </w:r>
    </w:p>
    <w:p>
      <w:pPr>
        <w:pStyle w:val="T1"/>
        <w:jc w:val="start"/>
        <w:rPr>
          <w:i/>
          <w:i/>
          <w:iCs/>
          <w:lang w:val="nl-NL"/>
        </w:rPr>
      </w:pPr>
      <w:r>
        <w:rPr>
          <w:i/>
          <w:iCs/>
          <w:lang w:val="nl-NL"/>
        </w:rPr>
      </w:r>
    </w:p>
    <w:p>
      <w:pPr>
        <w:pStyle w:val="Normal"/>
        <w:rPr>
          <w:rFonts w:ascii="Times New Roman" w:hAnsi="Times New Roman" w:cs="Times New Roman"/>
          <w:i/>
          <w:i/>
        </w:rPr>
      </w:pPr>
      <w:r>
        <w:rPr>
          <w:rFonts w:cs="Times New Roman" w:ascii="Times New Roman" w:hAnsi="Times New Roman"/>
          <w:i/>
        </w:rPr>
        <w:t>Recht gesloten zaalkerk uit 1806, met empire stijlkenmerken. In 1909 vergroot met voor de kerk gelegen pastorie en ‘Julianatoren’, een geveltoren met opengewerkte houten bekroning, voorzien van vierzijdige spits. Kansel, banken en scheidingswand uit de bouwtijd.</w:t>
      </w:r>
    </w:p>
    <w:p>
      <w:pPr>
        <w:pStyle w:val="T1"/>
        <w:jc w:val="start"/>
        <w:rPr>
          <w:rFonts w:ascii="Times New Roman" w:hAnsi="Times New Roman" w:cs="Times New Roman"/>
          <w:i/>
          <w:i/>
          <w:lang w:val="nl-NL"/>
        </w:rPr>
      </w:pPr>
      <w:r>
        <w:rPr>
          <w:rFonts w:cs="Times New Roman"/>
          <w:i/>
          <w:lang w:val="nl-NL"/>
        </w:rPr>
      </w:r>
    </w:p>
    <w:p>
      <w:pPr>
        <w:pStyle w:val="T1"/>
        <w:jc w:val="start"/>
        <w:rPr>
          <w:lang w:val="nl-NL"/>
        </w:rPr>
      </w:pPr>
      <w:r>
        <w:rPr>
          <w:lang w:val="nl-NL"/>
        </w:rPr>
        <w:t>Kas: 1896</w:t>
      </w:r>
    </w:p>
    <w:p>
      <w:pPr>
        <w:pStyle w:val="T1"/>
        <w:jc w:val="start"/>
        <w:rPr>
          <w:lang w:val="nl-NL"/>
        </w:rPr>
      </w:pPr>
      <w:r>
        <w:rPr>
          <w:lang w:val="nl-NL"/>
        </w:rPr>
      </w:r>
    </w:p>
    <w:p>
      <w:pPr>
        <w:pStyle w:val="T2Kunst"/>
        <w:jc w:val="start"/>
        <w:rPr>
          <w:b/>
          <w:b/>
          <w:bCs/>
          <w:lang w:val="nl-NL"/>
        </w:rPr>
      </w:pPr>
      <w:r>
        <w:rPr>
          <w:b/>
          <w:bCs/>
          <w:lang w:val="nl-NL"/>
        </w:rPr>
        <w:t>Kunsthistorische aspecten</w:t>
      </w:r>
    </w:p>
    <w:p>
      <w:pPr>
        <w:pStyle w:val="T2Kunst"/>
        <w:jc w:val="start"/>
        <w:rPr>
          <w:lang w:val="nl-NL"/>
        </w:rPr>
      </w:pPr>
      <w:r>
        <w:rPr>
          <w:lang w:val="nl-NL"/>
        </w:rPr>
        <w:t>Een front dat behoort tot de reeks identieke fronten die teruggaan op het ontwerp voor Wouterswoude uit 1894. De tussenvelden vlak uitgevoerd, snijwerk bij de pijpvoeten is achterwege gebleven.</w:t>
      </w:r>
    </w:p>
    <w:p>
      <w:pPr>
        <w:pStyle w:val="T2Kunst"/>
        <w:jc w:val="start"/>
        <w:rPr>
          <w:lang w:val="nl-NL"/>
        </w:rPr>
      </w:pPr>
      <w:r>
        <w:rPr>
          <w:lang w:val="nl-NL"/>
        </w:rPr>
        <w:t>De blinderingen in de drie torens zijn uit voluutvormen, blad- en bloemmotieven samengesteld. In de velden heeft men alleen eenvoudige bladranken toegepast.</w:t>
      </w:r>
    </w:p>
    <w:p>
      <w:pPr>
        <w:pStyle w:val="T2Kunst"/>
        <w:jc w:val="start"/>
        <w:rPr>
          <w:lang w:val="nl-NL"/>
        </w:rPr>
      </w:pPr>
      <w:r>
        <w:rPr>
          <w:lang w:val="nl-NL"/>
        </w:rPr>
        <w:t>De opzetstukken op de zijtorens zijn transparant uitgevoerd, met plantaardig ornament binnen twee nadrukkelijke gespiegeld geplaatste C-voluten. Bij het opzetstuk op de middentoren wordt een lier gedragen door voluutvormen; het geheel is met plantaardige motieven verlevendigd.</w:t>
      </w:r>
    </w:p>
    <w:p>
      <w:pPr>
        <w:pStyle w:val="T2Kunst"/>
        <w:jc w:val="start"/>
        <w:rPr>
          <w:lang w:val="nl-NL"/>
        </w:rPr>
      </w:pPr>
      <w:r>
        <w:rPr>
          <w:lang w:val="nl-NL"/>
        </w:rPr>
        <w:t>De vleugelstukken bestaan uit een grote C-voluut, waarbinnen druivenblad en druiventros. Aan de boven- en onderzijde is het centrale deel van de vleugel door middel van plantaardige elementen met de zijstijlen van de kas verbonden.</w:t>
      </w:r>
    </w:p>
    <w:p>
      <w:pPr>
        <w:pStyle w:val="T2Kunst"/>
        <w:jc w:val="start"/>
        <w:rPr/>
      </w:pPr>
      <w:r>
        <w:rPr>
          <w:lang w:val="nl-NL"/>
        </w:rPr>
        <w:t xml:space="preserve">De </w:t>
      </w:r>
      <w:r>
        <w:rPr>
          <w:i/>
          <w:iCs/>
          <w:lang w:val="nl-NL"/>
        </w:rPr>
        <w:t>culs-de-lampe</w:t>
      </w:r>
      <w:r>
        <w:rPr>
          <w:lang w:val="nl-NL"/>
        </w:rPr>
        <w:t xml:space="preserve"> bestaan uit bladmotieven, bij dit front wat vlak uitgewerkt, wat een contrast vormt met de meer uitbundige vormgeving van blinderingen, opzetstukken en vleugels.</w:t>
      </w:r>
    </w:p>
    <w:p>
      <w:pPr>
        <w:pStyle w:val="T2Kunst"/>
        <w:jc w:val="start"/>
        <w:rPr>
          <w:lang w:val="nl-NL"/>
        </w:rPr>
      </w:pPr>
      <w:r>
        <w:rPr>
          <w:lang w:val="nl-NL"/>
        </w:rPr>
        <w:t>Onder het orgel een peiwand met in het midden een boogvormig afgesloten deur binnen een classicistische omlijsting, die samen met het orgel een harmonisch ensemble oplevert.</w:t>
      </w:r>
    </w:p>
    <w:p>
      <w:pPr>
        <w:pStyle w:val="Normal"/>
        <w:rPr>
          <w:lang w:val="nl-NL"/>
        </w:rPr>
      </w:pPr>
      <w:r>
        <w:rPr>
          <w:lang w:val="nl-NL"/>
        </w:rPr>
      </w:r>
    </w:p>
    <w:p>
      <w:pPr>
        <w:pStyle w:val="T3Lit"/>
        <w:rPr>
          <w:b/>
          <w:b/>
          <w:bCs/>
          <w:lang w:val="nl-NL"/>
        </w:rPr>
      </w:pPr>
      <w:r>
        <w:rPr>
          <w:b/>
          <w:bCs/>
          <w:lang w:val="nl-NL"/>
        </w:rPr>
        <w:t>Literatuur</w:t>
      </w:r>
    </w:p>
    <w:p>
      <w:pPr>
        <w:pStyle w:val="T3Lit"/>
        <w:rPr/>
      </w:pPr>
      <w:r>
        <w:rPr>
          <w:lang w:val="nl-NL"/>
        </w:rPr>
        <w:t xml:space="preserve">Jan Jongepier, </w:t>
      </w:r>
      <w:r>
        <w:rPr>
          <w:i/>
          <w:lang w:val="nl-NL"/>
        </w:rPr>
        <w:t>Vijf eeuwen Friese orgelbouw</w:t>
      </w:r>
      <w:r>
        <w:rPr>
          <w:lang w:val="nl-NL"/>
        </w:rPr>
        <w:t>. Leeuwarden, 2004, 203.</w:t>
      </w:r>
    </w:p>
    <w:p>
      <w:pPr>
        <w:pStyle w:val="T3Lit"/>
        <w:rPr>
          <w:lang w:val="nl-NL"/>
        </w:rPr>
      </w:pPr>
      <w:r>
        <w:rPr>
          <w:lang w:val="nl-NL"/>
        </w:rPr>
      </w:r>
    </w:p>
    <w:p>
      <w:pPr>
        <w:pStyle w:val="T3Lit"/>
        <w:rPr>
          <w:b/>
          <w:b/>
          <w:bCs/>
          <w:lang w:val="nl-NL"/>
        </w:rPr>
      </w:pPr>
      <w:r>
        <w:rPr>
          <w:b/>
          <w:bCs/>
          <w:lang w:val="nl-NL"/>
        </w:rPr>
        <w:t>Niet gepubliceerde bron</w:t>
      </w:r>
    </w:p>
    <w:p>
      <w:pPr>
        <w:pStyle w:val="T3Lit"/>
        <w:rPr>
          <w:lang w:val="nl-NL"/>
        </w:rPr>
      </w:pPr>
      <w:r>
        <w:rPr>
          <w:lang w:val="nl-NL"/>
        </w:rPr>
        <w:t>Archief Orgelmakerij Bakker &amp; Timmenga, Leeuwarden, HCL.</w:t>
      </w:r>
    </w:p>
    <w:p>
      <w:pPr>
        <w:pStyle w:val="T3Lit"/>
        <w:rPr>
          <w:lang w:val="nl-NL"/>
        </w:rPr>
      </w:pPr>
      <w:r>
        <w:rPr>
          <w:lang w:val="nl-NL"/>
        </w:rPr>
      </w:r>
    </w:p>
    <w:p>
      <w:pPr>
        <w:pStyle w:val="T3Lit"/>
        <w:rPr>
          <w:lang w:val="nl-NL"/>
        </w:rPr>
      </w:pPr>
      <w:r>
        <w:rPr>
          <w:lang w:val="nl-NL"/>
        </w:rPr>
        <w:t>Monumentnummer 46547</w:t>
      </w:r>
    </w:p>
    <w:p>
      <w:pPr>
        <w:pStyle w:val="T3Lit"/>
        <w:rPr>
          <w:lang w:val="nl-NL"/>
        </w:rPr>
      </w:pPr>
      <w:r>
        <w:rPr>
          <w:lang w:val="nl-NL"/>
        </w:rPr>
        <w:t>Orgelnummer 1182</w:t>
      </w:r>
    </w:p>
    <w:p>
      <w:pPr>
        <w:pStyle w:val="T3Lit"/>
        <w:rPr>
          <w:lang w:val="nl-NL"/>
        </w:rPr>
      </w:pPr>
      <w:r>
        <w:rPr>
          <w:lang w:val="nl-NL"/>
        </w:rPr>
      </w:r>
    </w:p>
    <w:p>
      <w:pPr>
        <w:pStyle w:val="Heading2"/>
        <w:jc w:val="both"/>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Bakker &amp; Timmenga</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1896</w:t>
      </w:r>
    </w:p>
    <w:p>
      <w:pPr>
        <w:pStyle w:val="T1"/>
        <w:jc w:val="start"/>
        <w:rPr>
          <w:lang w:val="nl-NL"/>
        </w:rPr>
      </w:pPr>
      <w:r>
        <w:rPr>
          <w:lang w:val="nl-NL"/>
        </w:rPr>
      </w:r>
    </w:p>
    <w:p>
      <w:pPr>
        <w:pStyle w:val="T1"/>
        <w:jc w:val="start"/>
        <w:rPr/>
      </w:pPr>
      <w:r>
        <w:rPr/>
        <w:t>Bakker &amp; Timmenga 1930</w:t>
      </w:r>
    </w:p>
    <w:p>
      <w:pPr>
        <w:pStyle w:val="T1"/>
        <w:numPr>
          <w:ilvl w:val="0"/>
          <w:numId w:val="2"/>
        </w:numPr>
        <w:jc w:val="start"/>
        <w:rPr>
          <w:lang w:val="nl-NL"/>
        </w:rPr>
      </w:pPr>
      <w:r>
        <w:rPr>
          <w:lang w:val="nl-NL"/>
        </w:rPr>
        <w:t>orgel schoongemaakt, frontpijpen gepolijst</w:t>
      </w:r>
    </w:p>
    <w:p>
      <w:pPr>
        <w:pStyle w:val="T1"/>
        <w:numPr>
          <w:ilvl w:val="0"/>
          <w:numId w:val="2"/>
        </w:numPr>
        <w:jc w:val="start"/>
        <w:rPr>
          <w:lang w:val="nl-NL"/>
        </w:rPr>
      </w:pPr>
      <w:r>
        <w:rPr>
          <w:lang w:val="nl-NL"/>
        </w:rPr>
        <w:t>mechaniek hersteld en ingevoerd, contraklavier aangebracht voor pedaalmechaniek</w:t>
      </w:r>
    </w:p>
    <w:p>
      <w:pPr>
        <w:pStyle w:val="T1"/>
        <w:jc w:val="start"/>
        <w:rPr>
          <w:lang w:val="nl-NL"/>
        </w:rPr>
      </w:pPr>
      <w:r>
        <w:rPr>
          <w:lang w:val="nl-NL"/>
        </w:rPr>
      </w:r>
    </w:p>
    <w:p>
      <w:pPr>
        <w:pStyle w:val="Heading2"/>
        <w:jc w:val="both"/>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303" w:type="dxa"/>
        <w:jc w:val="start"/>
        <w:tblInd w:w="-108" w:type="dxa"/>
        <w:tblLayout w:type="fixed"/>
        <w:tblCellMar>
          <w:top w:w="0" w:type="dxa"/>
          <w:start w:w="108" w:type="dxa"/>
          <w:bottom w:w="0" w:type="dxa"/>
          <w:end w:w="108" w:type="dxa"/>
        </w:tblCellMar>
      </w:tblPr>
      <w:tblGrid>
        <w:gridCol w:w="1526"/>
        <w:gridCol w:w="777"/>
      </w:tblGrid>
      <w:tr>
        <w:trPr/>
        <w:tc>
          <w:tcPr>
            <w:tcW w:w="1526" w:type="dxa"/>
            <w:tcBorders/>
          </w:tcPr>
          <w:p>
            <w:pPr>
              <w:pStyle w:val="T4dispositie"/>
              <w:jc w:val="start"/>
              <w:rPr>
                <w:i/>
                <w:i/>
                <w:lang w:val="nl-NL"/>
              </w:rPr>
            </w:pPr>
            <w:r>
              <w:rPr>
                <w:i/>
                <w:lang w:val="nl-NL"/>
              </w:rPr>
              <w:t>Manuaal</w:t>
            </w:r>
          </w:p>
          <w:p>
            <w:pPr>
              <w:pStyle w:val="T4dispositie"/>
              <w:jc w:val="start"/>
              <w:rPr>
                <w:lang w:val="nl-NL"/>
              </w:rPr>
            </w:pPr>
            <w:r>
              <w:rPr>
                <w:lang w:val="nl-NL"/>
              </w:rPr>
              <w:t>5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Holpijp</w:t>
            </w:r>
          </w:p>
          <w:p>
            <w:pPr>
              <w:pStyle w:val="T4dispositie"/>
              <w:jc w:val="start"/>
              <w:rPr>
                <w:lang w:val="nl-NL"/>
              </w:rPr>
            </w:pPr>
            <w:r>
              <w:rPr>
                <w:lang w:val="nl-NL"/>
              </w:rPr>
              <w:t>Viola di Gamba</w:t>
            </w:r>
          </w:p>
          <w:p>
            <w:pPr>
              <w:pStyle w:val="T4dispositie"/>
              <w:jc w:val="start"/>
              <w:rPr>
                <w:lang w:val="nl-NL"/>
              </w:rPr>
            </w:pPr>
            <w:r>
              <w:rPr>
                <w:lang w:val="nl-NL"/>
              </w:rPr>
              <w:t>Octaaf</w:t>
            </w:r>
          </w:p>
          <w:p>
            <w:pPr>
              <w:pStyle w:val="T4dispositie"/>
              <w:jc w:val="start"/>
              <w:rPr>
                <w:lang w:val="nl-NL"/>
              </w:rPr>
            </w:pPr>
            <w:r>
              <w:rPr>
                <w:lang w:val="nl-NL"/>
              </w:rPr>
              <w:t>Octaaf</w:t>
            </w:r>
          </w:p>
        </w:tc>
        <w:tc>
          <w:tcPr>
            <w:tcW w:w="777"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Werktuiglijk register</w:t>
      </w:r>
    </w:p>
    <w:p>
      <w:pPr>
        <w:pStyle w:val="T1"/>
        <w:jc w:val="start"/>
        <w:rPr>
          <w:lang w:val="nl-NL"/>
        </w:rPr>
      </w:pPr>
      <w:r>
        <w:rPr>
          <w:lang w:val="nl-NL"/>
        </w:rPr>
        <w:t>ventiel</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lang w:val="nl-NL"/>
        </w:rPr>
      </w:pPr>
      <w:r>
        <w:rPr>
          <w:lang w:val="nl-NL"/>
        </w:rPr>
        <w:t>C-f</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C-g</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magazijnbalg met twee schepbalgen en handpomp (1896)</w:t>
      </w:r>
    </w:p>
    <w:p>
      <w:pPr>
        <w:pStyle w:val="T1"/>
        <w:jc w:val="start"/>
        <w:rPr>
          <w:lang w:val="nl-NL"/>
        </w:rPr>
      </w:pPr>
      <w:r>
        <w:rPr>
          <w:lang w:val="nl-NL"/>
        </w:rPr>
        <w:t>Winddruk</w:t>
      </w:r>
    </w:p>
    <w:p>
      <w:pPr>
        <w:pStyle w:val="T1"/>
        <w:jc w:val="start"/>
        <w:rPr>
          <w:lang w:val="nl-NL"/>
        </w:rPr>
      </w:pPr>
      <w:r>
        <w:rPr>
          <w:lang w:val="nl-NL"/>
        </w:rPr>
        <w:t>78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Normal"/>
        <w:rPr>
          <w:lang w:val="nl-NL"/>
        </w:rPr>
      </w:pPr>
      <w:r>
        <w:rPr>
          <w:lang w:val="nl-NL"/>
        </w:rPr>
      </w:r>
    </w:p>
    <w:p>
      <w:pPr>
        <w:pStyle w:val="Heading1"/>
        <w:rPr/>
      </w:pPr>
      <w:r>
        <w:rPr/>
        <w:t>Bijzonderheden</w:t>
      </w:r>
    </w:p>
    <w:p>
      <w:pPr>
        <w:pStyle w:val="Normal"/>
        <w:rPr>
          <w:b/>
          <w:b/>
          <w:bCs/>
        </w:rPr>
      </w:pPr>
      <w:r>
        <w:rPr>
          <w:b/>
          <w:bCs/>
        </w:rPr>
      </w:r>
    </w:p>
    <w:p>
      <w:pPr>
        <w:pStyle w:val="T1"/>
        <w:jc w:val="start"/>
        <w:rPr>
          <w:lang w:val="nl-NL"/>
        </w:rPr>
      </w:pPr>
      <w:r>
        <w:rPr>
          <w:lang w:val="nl-NL"/>
        </w:rPr>
        <w:t>In het bestek van november 1895 wordt in plaats van de geleverde Octaaf 2' een Gemshoorn 2' opgegeven.</w:t>
      </w:r>
    </w:p>
    <w:p>
      <w:pPr>
        <w:pStyle w:val="T1"/>
        <w:jc w:val="start"/>
        <w:rPr>
          <w:lang w:val="nl-NL"/>
        </w:rPr>
      </w:pPr>
      <w:r>
        <w:rPr>
          <w:lang w:val="nl-NL"/>
        </w:rPr>
        <w:t>De frontpijpen zijn van Engels tin en behoren tot de Prestant 8'.</w:t>
      </w:r>
    </w:p>
    <w:p>
      <w:pPr>
        <w:pStyle w:val="T1"/>
        <w:jc w:val="start"/>
        <w:rPr/>
      </w:pPr>
      <w:r>
        <w:rPr/>
        <w:t>Het handklavier is een eiken staartklavier, de registerknoppen zijn boven de lessenaar geplaatst en bezitten witte porseleinen naamplaatjes.</w:t>
      </w:r>
    </w:p>
    <w:p>
      <w:pPr>
        <w:pStyle w:val="T1"/>
        <w:jc w:val="start"/>
        <w:rPr/>
      </w:pPr>
      <w:r>
        <w:rPr/>
        <w:t>Het windtoestel bevindt zich onder in de orgelkas.</w:t>
      </w:r>
    </w:p>
    <w:p>
      <w:pPr>
        <w:pStyle w:val="T1"/>
        <w:jc w:val="start"/>
        <w:rPr>
          <w:lang w:val="nl-NL"/>
        </w:rPr>
      </w:pPr>
      <w:r>
        <w:rPr>
          <w:lang w:val="nl-NL"/>
        </w:rPr>
        <w:t>De eiken lade heeft mahonie stokken. De ventielkast heeft drie opliggende voorslagen.</w:t>
      </w:r>
    </w:p>
    <w:p>
      <w:pPr>
        <w:pStyle w:val="T1"/>
        <w:jc w:val="start"/>
        <w:rPr/>
      </w:pPr>
      <w:r>
        <w:rPr>
          <w:lang w:val="nl-NL"/>
        </w:rPr>
        <w:t>De cancelvolgorde is: fis d B Gis c e gis / e</w:t>
      </w:r>
      <w:r>
        <w:rPr>
          <w:vertAlign w:val="superscript"/>
          <w:lang w:val="nl-NL"/>
        </w:rPr>
        <w:t>3</w:t>
      </w:r>
      <w:r>
        <w:rPr>
          <w:lang w:val="nl-NL"/>
        </w:rPr>
        <w:t>-b / Fis E D C Cis Dis F / a-f</w:t>
      </w:r>
      <w:r>
        <w:rPr>
          <w:vertAlign w:val="superscript"/>
          <w:lang w:val="nl-NL"/>
        </w:rPr>
        <w:t>3</w:t>
      </w:r>
      <w:r>
        <w:rPr>
          <w:lang w:val="nl-NL"/>
        </w:rPr>
        <w:t xml:space="preserve"> / g dis H G A cis f. (f aan klavierzijde). De lade heeft na de Octaaf 2' nog een open plaats, echter zonder sleep, stok en registermechaniek.</w:t>
      </w:r>
    </w:p>
    <w:p>
      <w:pPr>
        <w:pStyle w:val="T1"/>
        <w:jc w:val="start"/>
        <w:rPr>
          <w:lang w:val="nl-NL"/>
        </w:rPr>
      </w:pPr>
      <w:r>
        <w:rPr>
          <w:lang w:val="nl-NL"/>
        </w:rPr>
        <w:t>De Prestant 8' heeft open houten pijpen voor C-Fis. De Holpijp 8' heeft eiken pijpen voor C-H, de Viola di Gamba 8' is van C-H gecombineerd met de Holpijp.</w:t>
      </w:r>
    </w:p>
    <w:p>
      <w:pPr>
        <w:pStyle w:val="T1"/>
        <w:jc w:val="start"/>
        <w:rPr/>
      </w:pPr>
      <w:r>
        <w:rPr>
          <w:lang w:val="nl-NL"/>
        </w:rPr>
        <w:t>Het metalen binnenpijpwerk heeft geritste spitslabia. Expressions zijn toegepast bij de binnenpijpen van de Prestant en bij de Viola di Gamba tot en met h</w:t>
      </w:r>
      <w:r>
        <w:rPr>
          <w:vertAlign w:val="superscript"/>
          <w:lang w:val="nl-NL"/>
        </w:rPr>
        <w:t>2</w:t>
      </w:r>
      <w:r>
        <w:rPr>
          <w:lang w:val="nl-NL"/>
        </w:rPr>
        <w:t>, bij de Octaaf 4' tot en met h</w:t>
      </w:r>
      <w:r>
        <w:rPr>
          <w:vertAlign w:val="superscript"/>
          <w:lang w:val="nl-NL"/>
        </w:rPr>
        <w:t>1</w:t>
      </w:r>
      <w:r>
        <w:rPr>
          <w:lang w:val="nl-NL"/>
        </w:rPr>
        <w:t xml:space="preserve"> en bij de Octaaf 2' tot en met h.</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2008-05-05T13:15:00Z</dcterms:created>
  <dc:creator>WS1</dc:creator>
  <dc:description/>
  <dc:language>en-US</dc:language>
  <cp:lastModifiedBy>NIvO</cp:lastModifiedBy>
  <cp:lastPrinted>2002-01-08T11:24:00Z</cp:lastPrinted>
  <dcterms:modified xsi:type="dcterms:W3CDTF">2008-07-21T11:27:00Z</dcterms:modified>
  <cp:revision>4</cp:revision>
  <dc:subject/>
  <dc:title>Vrouwenpolder/ca 1845</dc:title>
</cp:coreProperties>
</file>