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Sleen / 1896</w:t>
      </w:r>
    </w:p>
    <w:p>
      <w:pPr>
        <w:pStyle w:val="Heading2"/>
        <w:numPr>
          <w:ilvl w:val="0"/>
          <w:numId w:val="0"/>
        </w:numPr>
        <w:ind w:start="0" w:hanging="0"/>
        <w:rPr>
          <w:i w:val="false"/>
          <w:i w:val="false"/>
          <w:iCs/>
        </w:rPr>
      </w:pPr>
      <w:r>
        <w:rPr>
          <w:i w:val="false"/>
          <w:iCs/>
        </w:rPr>
        <w:t>Gereformeerde Kerk</w:t>
      </w:r>
    </w:p>
    <w:p>
      <w:pPr>
        <w:pStyle w:val="T1"/>
        <w:jc w:val="start"/>
        <w:rPr>
          <w:i/>
          <w:i/>
          <w:iCs/>
          <w:lang w:val="nl-NL"/>
        </w:rPr>
      </w:pPr>
      <w:r>
        <w:rPr>
          <w:i/>
          <w:iCs/>
          <w:lang w:val="nl-NL"/>
        </w:rPr>
      </w:r>
    </w:p>
    <w:p>
      <w:pPr>
        <w:pStyle w:val="T1"/>
        <w:jc w:val="start"/>
        <w:rPr>
          <w:i/>
          <w:i/>
          <w:iCs/>
          <w:lang w:val="nl-NL"/>
        </w:rPr>
      </w:pPr>
      <w:r>
        <w:rPr>
          <w:i/>
          <w:iCs/>
          <w:lang w:val="nl-NL"/>
        </w:rPr>
        <w:t>Zaalkerk met een stenen klokkenstoel en bijgebouw uit 1974.</w:t>
      </w:r>
    </w:p>
    <w:p>
      <w:pPr>
        <w:pStyle w:val="T1"/>
        <w:jc w:val="start"/>
        <w:rPr>
          <w:i/>
          <w:i/>
          <w:iCs/>
          <w:lang w:val="nl-NL"/>
        </w:rPr>
      </w:pPr>
      <w:r>
        <w:rPr>
          <w:i/>
          <w:iCs/>
          <w:lang w:val="nl-NL"/>
        </w:rPr>
      </w:r>
    </w:p>
    <w:p>
      <w:pPr>
        <w:pStyle w:val="T1"/>
        <w:jc w:val="start"/>
        <w:rPr>
          <w:lang w:val="nl-NL"/>
        </w:rPr>
      </w:pPr>
      <w:r>
        <w:rPr>
          <w:lang w:val="nl-NL"/>
        </w:rPr>
        <w:t>Kas: 1896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Van het oorspronkelijke eenmanuaals balustrade-orgel met zijkantbespeling werden in 1974 slechts het frontraam met pijpen, het snijwerk, de bekronende ornamenten, de windlade (in sterk gewijzigde vorm) en het pijpwerk hergebruikt voor een geheel nieuw tweemanuaals concept met de klaviatuur aan de voorzijde. Daarbij ging de originele onderbouw van het front verloren.</w:t>
      </w:r>
    </w:p>
    <w:p>
      <w:pPr>
        <w:pStyle w:val="T2Kunst"/>
        <w:jc w:val="start"/>
        <w:rPr>
          <w:lang w:val="nl-NL"/>
        </w:rPr>
      </w:pPr>
      <w:r>
        <w:rPr>
          <w:lang w:val="nl-NL"/>
        </w:rPr>
        <w:t>Het oorspronkelijke ontwerp past in de door Petrus van Oeckelen met het orgel te Tolbert (1867, deel 1865-1872, 136-138) ingezette lijn van vijfdelige fronten met een grote geronde middentoren en twee kleinere geronde hoektorens die verbonden zijn door gedeelde tussenvelden met een harpvormige bovenafsluiting. Voor de deling van de tussenvelden is een verhoudingsgewijs zware lijst gebruikt, een aspect dat we ook bij het qua uiterlijk sterk overeenkomstige orgel in Oldehove (Hervormde Kerk, 1903) nog zullen tegenkomen. Het blinderingssnijwerk (boven de hoogste tussenvelden over de pijpen afhangend gedrapeerd), de zijwangen en de opzetstukken op de hoektorens vertonen de bij de Van Oeckelens gebruikelijke combinatie van C-voluten, rankwerk, bloemen en bladeren. Op de middentoren is de kenmerkende lier geplaatst. In de huidige kleurstelling (1974) zijn her en der op het snijwerk kleuraccenten aangebracht die met een Van Oeckelen-esthetiek weinig van doen hebben.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i/>
          <w:i/>
          <w:iCs/>
          <w:lang w:val="nl-NL"/>
        </w:rPr>
      </w:pPr>
      <w:r>
        <w:rPr>
          <w:lang w:val="nl-NL"/>
        </w:rPr>
        <w:t xml:space="preserve">W.D. van der Kleij / W.H. Zwart, ‘Uit de tijd der "standaardïsering". </w:t>
      </w:r>
      <w:r>
        <w:rPr>
          <w:i/>
          <w:iCs/>
          <w:lang w:val="nl-NL"/>
        </w:rPr>
        <w:t>De Mixtuur</w:t>
      </w:r>
      <w:r>
        <w:rPr>
          <w:lang w:val="nl-NL"/>
        </w:rPr>
        <w:t>, 16 (1975), 323-324.</w:t>
      </w:r>
    </w:p>
    <w:p>
      <w:pPr>
        <w:pStyle w:val="T3Lit"/>
        <w:jc w:val="start"/>
        <w:rPr/>
      </w:pPr>
      <w:r>
        <w:rPr>
          <w:i/>
          <w:iCs/>
          <w:lang w:val="nl-NL"/>
        </w:rPr>
        <w:t>Het Orgel</w:t>
      </w:r>
      <w:r>
        <w:rPr>
          <w:lang w:val="nl-NL"/>
        </w:rPr>
        <w:t>, 72/10 (1976), 320-321.</w:t>
      </w:r>
    </w:p>
    <w:p>
      <w:pPr>
        <w:pStyle w:val="T3Lit"/>
        <w:jc w:val="start"/>
        <w:rPr/>
      </w:pPr>
      <w:r>
        <w:rPr>
          <w:i/>
          <w:iCs/>
          <w:lang w:val="nl-NL"/>
        </w:rPr>
        <w:t>De Orgelvriend</w:t>
      </w:r>
      <w:r>
        <w:rPr>
          <w:lang w:val="nl-NL"/>
        </w:rPr>
        <w:t>, 18/12 (1976), 10-11.</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Hendriksen &amp; Reitsma orgelbouw.</w:t>
      </w:r>
    </w:p>
    <w:p>
      <w:pPr>
        <w:pStyle w:val="T3Lit"/>
        <w:jc w:val="start"/>
        <w:rPr>
          <w:lang w:val="nl-NL"/>
        </w:rPr>
      </w:pPr>
      <w:r>
        <w:rPr>
          <w:lang w:val="nl-NL"/>
        </w:rPr>
        <w:t>Orgelarchief Jaap Brouwer.</w:t>
      </w:r>
    </w:p>
    <w:p>
      <w:pPr>
        <w:pStyle w:val="T3Lit"/>
        <w:jc w:val="start"/>
        <w:rPr>
          <w:lang w:val="nl-NL"/>
        </w:rPr>
      </w:pPr>
      <w:r>
        <w:rPr>
          <w:lang w:val="nl-NL"/>
        </w:rPr>
        <w:t>Orgelarchief Peter van Dijk.</w:t>
      </w:r>
    </w:p>
    <w:p>
      <w:pPr>
        <w:pStyle w:val="T3Lit"/>
        <w:jc w:val="start"/>
        <w:rPr>
          <w:lang w:val="nl-NL"/>
        </w:rPr>
      </w:pPr>
      <w:r>
        <w:rPr>
          <w:lang w:val="nl-NL"/>
        </w:rPr>
        <w:t>Orgelarchief Geert-Jan Pottjewijd.</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P. van Oeckelen &amp; Zonen</w:t>
      </w:r>
    </w:p>
    <w:p>
      <w:pPr>
        <w:pStyle w:val="T1"/>
        <w:jc w:val="start"/>
        <w:rPr>
          <w:lang w:val="nl-NL"/>
        </w:rPr>
      </w:pPr>
      <w:r>
        <w:rPr>
          <w:lang w:val="nl-NL"/>
        </w:rPr>
        <w:t>2. Hendriksen &amp; Reitsma</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1. 1896</w:t>
      </w:r>
    </w:p>
    <w:p>
      <w:pPr>
        <w:pStyle w:val="T1"/>
        <w:jc w:val="start"/>
        <w:rPr>
          <w:lang w:val="nl-NL"/>
        </w:rPr>
      </w:pPr>
      <w:r>
        <w:rPr>
          <w:lang w:val="nl-NL"/>
        </w:rPr>
        <w:t>2. 1974</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w:t>
      </w:r>
    </w:p>
    <w:p>
      <w:pPr>
        <w:pStyle w:val="T1"/>
        <w:jc w:val="start"/>
        <w:rPr>
          <w:lang w:val="nl-NL"/>
        </w:rPr>
      </w:pPr>
      <w:r>
        <w:rPr>
          <w:lang w:val="nl-NL"/>
        </w:rPr>
      </w:r>
    </w:p>
    <w:p>
      <w:pPr>
        <w:pStyle w:val="T1"/>
        <w:jc w:val="start"/>
        <w:rPr/>
      </w:pPr>
      <w:r>
        <w:rPr/>
        <w:t>Vermoedelijke dispositie 1896</w:t>
      </w:r>
    </w:p>
    <w:tbl>
      <w:tblPr>
        <w:tblW w:w="2020" w:type="dxa"/>
        <w:jc w:val="start"/>
        <w:tblInd w:w="0" w:type="dxa"/>
        <w:tblLayout w:type="fixed"/>
        <w:tblCellMar>
          <w:top w:w="0" w:type="dxa"/>
          <w:start w:w="70" w:type="dxa"/>
          <w:bottom w:w="0" w:type="dxa"/>
          <w:end w:w="70" w:type="dxa"/>
        </w:tblCellMar>
      </w:tblPr>
      <w:tblGrid>
        <w:gridCol w:w="1464"/>
        <w:gridCol w:w="556"/>
      </w:tblGrid>
      <w:tr>
        <w:trPr/>
        <w:tc>
          <w:tcPr>
            <w:tcW w:w="1464" w:type="dxa"/>
            <w:tcBorders/>
          </w:tcPr>
          <w:p>
            <w:pPr>
              <w:pStyle w:val="T4dispositie"/>
              <w:rPr>
                <w:i/>
                <w:i/>
                <w:iCs/>
              </w:rPr>
            </w:pPr>
            <w:r>
              <w:rPr>
                <w:i/>
                <w:iCs/>
              </w:rPr>
              <w:t>Manuaal</w:t>
            </w:r>
          </w:p>
          <w:p>
            <w:pPr>
              <w:pStyle w:val="T4dispositie"/>
              <w:rPr/>
            </w:pPr>
            <w:r>
              <w:rPr/>
              <w:t>Bourdon</w:t>
            </w:r>
          </w:p>
          <w:p>
            <w:pPr>
              <w:pStyle w:val="T4dispositie"/>
              <w:rPr>
                <w:lang w:val="fr-FR"/>
              </w:rPr>
            </w:pPr>
            <w:r>
              <w:rPr>
                <w:lang w:val="fr-FR"/>
              </w:rPr>
              <w:t>Prestant</w:t>
            </w:r>
          </w:p>
          <w:p>
            <w:pPr>
              <w:pStyle w:val="T4dispositie"/>
              <w:rPr>
                <w:lang w:val="fr-FR"/>
              </w:rPr>
            </w:pPr>
            <w:r>
              <w:rPr>
                <w:lang w:val="fr-FR"/>
              </w:rPr>
              <w:t>Roerfluit</w:t>
            </w:r>
          </w:p>
          <w:p>
            <w:pPr>
              <w:pStyle w:val="T4dispositie"/>
              <w:rPr>
                <w:lang w:val="fr-FR"/>
              </w:rPr>
            </w:pPr>
            <w:r>
              <w:rPr>
                <w:lang w:val="fr-FR"/>
              </w:rPr>
              <w:t>Viola di Gamba</w:t>
            </w:r>
          </w:p>
          <w:p>
            <w:pPr>
              <w:pStyle w:val="T4dispositie"/>
              <w:rPr>
                <w:lang w:val="fr-FR"/>
              </w:rPr>
            </w:pPr>
            <w:r>
              <w:rPr>
                <w:lang w:val="fr-FR"/>
              </w:rPr>
              <w:t>Octaaf</w:t>
            </w:r>
          </w:p>
          <w:p>
            <w:pPr>
              <w:pStyle w:val="T4dispositie"/>
              <w:rPr>
                <w:lang w:val="fr-FR"/>
              </w:rPr>
            </w:pPr>
            <w:r>
              <w:rPr>
                <w:lang w:val="fr-FR"/>
              </w:rPr>
              <w:t>Fluit</w:t>
            </w:r>
          </w:p>
          <w:p>
            <w:pPr>
              <w:pStyle w:val="T4dispositie"/>
              <w:rPr>
                <w:lang w:val="fr-FR"/>
              </w:rPr>
            </w:pPr>
            <w:r>
              <w:rPr>
                <w:lang w:val="fr-FR"/>
              </w:rPr>
              <w:t>Cornet D</w:t>
            </w:r>
          </w:p>
        </w:tc>
        <w:tc>
          <w:tcPr>
            <w:tcW w:w="556" w:type="dxa"/>
            <w:tcBorders/>
          </w:tcPr>
          <w:p>
            <w:pPr>
              <w:pStyle w:val="T4dispositie"/>
              <w:snapToGrid w:val="false"/>
              <w:rPr>
                <w:lang w:val="fr-FR"/>
              </w:rPr>
            </w:pPr>
            <w:r>
              <w:rPr>
                <w:lang w:val="fr-FR"/>
              </w:rPr>
            </w:r>
          </w:p>
          <w:p>
            <w:pPr>
              <w:pStyle w:val="T4dispositie"/>
              <w:rPr>
                <w:lang w:val="fr-FR"/>
              </w:rPr>
            </w:pPr>
            <w:r>
              <w:rPr>
                <w:lang w:val="fr-FR"/>
              </w:rPr>
              <w:t>16'</w:t>
            </w:r>
          </w:p>
          <w:p>
            <w:pPr>
              <w:pStyle w:val="T4dispositie"/>
              <w:rPr>
                <w:lang w:val="fr-FR"/>
              </w:rPr>
            </w:pPr>
            <w:r>
              <w:rPr>
                <w:lang w:val="fr-FR"/>
              </w:rPr>
              <w:t>8'</w:t>
            </w:r>
          </w:p>
          <w:p>
            <w:pPr>
              <w:pStyle w:val="T4dispositie"/>
              <w:rPr>
                <w:lang w:val="fr-FR"/>
              </w:rPr>
            </w:pPr>
            <w:r>
              <w:rPr>
                <w:lang w:val="fr-FR"/>
              </w:rPr>
              <w:t>8'</w:t>
            </w:r>
          </w:p>
          <w:p>
            <w:pPr>
              <w:pStyle w:val="T4dispositie"/>
              <w:rPr>
                <w:lang w:val="en-GB"/>
              </w:rPr>
            </w:pPr>
            <w:r>
              <w:rPr>
                <w:lang w:val="fr-FR"/>
              </w:rPr>
              <w:t>8'</w:t>
            </w:r>
          </w:p>
          <w:p>
            <w:pPr>
              <w:pStyle w:val="T4dispositie"/>
              <w:rPr>
                <w:lang w:val="en-GB"/>
              </w:rPr>
            </w:pPr>
            <w:r>
              <w:rPr>
                <w:lang w:val="en-GB"/>
              </w:rPr>
              <w:t>4'</w:t>
            </w:r>
          </w:p>
          <w:p>
            <w:pPr>
              <w:pStyle w:val="T4dispositie"/>
              <w:rPr>
                <w:lang w:val="en-GB"/>
              </w:rPr>
            </w:pPr>
            <w:r>
              <w:rPr>
                <w:lang w:val="en-GB"/>
              </w:rPr>
              <w:t>4'</w:t>
            </w:r>
          </w:p>
          <w:p>
            <w:pPr>
              <w:pStyle w:val="T4dispositie"/>
              <w:rPr>
                <w:lang w:val="en-GB"/>
              </w:rPr>
            </w:pPr>
            <w:r>
              <w:rPr>
                <w:lang w:val="en-GB"/>
              </w:rPr>
              <w:t>3 st.</w:t>
            </w:r>
          </w:p>
        </w:tc>
      </w:tr>
    </w:tbl>
    <w:p>
      <w:pPr>
        <w:pStyle w:val="T4dispositie"/>
        <w:rPr/>
      </w:pPr>
      <w:r>
        <w:rPr/>
      </w:r>
    </w:p>
    <w:p>
      <w:pPr>
        <w:pStyle w:val="T4dispositie"/>
        <w:rPr>
          <w:lang w:val="nl-NL"/>
        </w:rPr>
      </w:pPr>
      <w:r>
        <w:rPr>
          <w:lang w:val="nl-NL"/>
        </w:rPr>
        <w:t>aangehangen pedaal C-a</w:t>
      </w:r>
    </w:p>
    <w:p>
      <w:pPr>
        <w:pStyle w:val="T1"/>
        <w:jc w:val="start"/>
        <w:rPr>
          <w:lang w:val="nl-NL"/>
        </w:rPr>
      </w:pPr>
      <w:r>
        <w:rPr>
          <w:lang w:val="nl-NL"/>
        </w:rPr>
      </w:r>
    </w:p>
    <w:p>
      <w:pPr>
        <w:pStyle w:val="T1"/>
        <w:jc w:val="start"/>
        <w:rPr>
          <w:lang w:val="nl-NL"/>
        </w:rPr>
      </w:pPr>
      <w:r>
        <w:rPr>
          <w:lang w:val="nl-NL"/>
        </w:rPr>
        <w:t>1912</w:t>
      </w:r>
    </w:p>
    <w:p>
      <w:pPr>
        <w:pStyle w:val="T1"/>
        <w:numPr>
          <w:ilvl w:val="0"/>
          <w:numId w:val="5"/>
        </w:numPr>
        <w:jc w:val="start"/>
        <w:rPr>
          <w:lang w:val="nl-NL"/>
        </w:rPr>
      </w:pPr>
      <w:r>
        <w:rPr>
          <w:lang w:val="nl-NL"/>
        </w:rPr>
        <w:t>orgel aangekocht door Christelijke Gereformeerde Jeruzalemkerk te Groningen</w:t>
      </w:r>
    </w:p>
    <w:p>
      <w:pPr>
        <w:pStyle w:val="T1"/>
        <w:jc w:val="start"/>
        <w:rPr>
          <w:lang w:val="nl-NL"/>
        </w:rPr>
      </w:pPr>
      <w:r>
        <w:rPr>
          <w:lang w:val="nl-NL"/>
        </w:rPr>
      </w:r>
    </w:p>
    <w:p>
      <w:pPr>
        <w:pStyle w:val="T1"/>
        <w:jc w:val="start"/>
        <w:rPr>
          <w:lang w:val="nl-NL"/>
        </w:rPr>
      </w:pPr>
      <w:r>
        <w:rPr>
          <w:lang w:val="nl-NL"/>
        </w:rPr>
        <w:t>M. Spiering 1934</w:t>
      </w:r>
    </w:p>
    <w:p>
      <w:pPr>
        <w:pStyle w:val="T1"/>
        <w:numPr>
          <w:ilvl w:val="0"/>
          <w:numId w:val="3"/>
        </w:numPr>
        <w:jc w:val="start"/>
        <w:rPr>
          <w:lang w:val="nl-NL"/>
        </w:rPr>
      </w:pPr>
      <w:r>
        <w:rPr>
          <w:lang w:val="nl-NL"/>
        </w:rPr>
        <w:t>orgel geplaatst te Sleen, Gereformeerde Kerk</w:t>
      </w:r>
    </w:p>
    <w:p>
      <w:pPr>
        <w:pStyle w:val="T1"/>
        <w:jc w:val="start"/>
        <w:rPr>
          <w:lang w:val="nl-NL"/>
        </w:rPr>
      </w:pPr>
      <w:r>
        <w:rPr>
          <w:lang w:val="nl-NL"/>
        </w:rPr>
      </w:r>
    </w:p>
    <w:p>
      <w:pPr>
        <w:pStyle w:val="T1"/>
        <w:jc w:val="start"/>
        <w:rPr>
          <w:lang w:val="nl-NL"/>
        </w:rPr>
      </w:pPr>
      <w:r>
        <w:rPr>
          <w:lang w:val="nl-NL"/>
        </w:rPr>
        <w:t>H.G. Kamphuis, onbekende momenten (1944?)</w:t>
      </w:r>
    </w:p>
    <w:p>
      <w:pPr>
        <w:pStyle w:val="T1"/>
        <w:numPr>
          <w:ilvl w:val="0"/>
          <w:numId w:val="3"/>
        </w:numPr>
        <w:jc w:val="start"/>
        <w:rPr>
          <w:lang w:val="nl-NL"/>
        </w:rPr>
      </w:pPr>
      <w:r>
        <w:rPr>
          <w:lang w:val="nl-NL"/>
        </w:rPr>
        <w:t>dispositiewijzigingen:</w:t>
      </w:r>
    </w:p>
    <w:p>
      <w:pPr>
        <w:pStyle w:val="T1"/>
        <w:ind w:start="708" w:hanging="0"/>
        <w:jc w:val="start"/>
        <w:rPr>
          <w:lang w:val="en-GB"/>
        </w:rPr>
      </w:pPr>
      <w:r>
        <w:rPr>
          <w:lang w:val="en-GB"/>
        </w:rPr>
        <w:t>Man - Cornet D 3 st., + Mixtuur D 3 st.; Viola di Gamba 8' $ Octaaf 2'</w:t>
      </w:r>
    </w:p>
    <w:p>
      <w:pPr>
        <w:pStyle w:val="T1"/>
        <w:ind w:start="708" w:hanging="0"/>
        <w:jc w:val="start"/>
        <w:rPr>
          <w:lang w:val="nl-NL"/>
        </w:rPr>
      </w:pPr>
      <w:r>
        <w:rPr>
          <w:lang w:val="nl-NL"/>
        </w:rPr>
        <w:t>Ped + Subbas 16' (pneumatisch bediende transmissie van Bourdon 16')</w:t>
      </w:r>
    </w:p>
    <w:p>
      <w:pPr>
        <w:pStyle w:val="T1"/>
        <w:jc w:val="start"/>
        <w:rPr>
          <w:lang w:val="nl-NL"/>
        </w:rPr>
      </w:pPr>
      <w:r>
        <w:rPr>
          <w:lang w:val="nl-NL"/>
        </w:rPr>
      </w:r>
    </w:p>
    <w:p>
      <w:pPr>
        <w:pStyle w:val="T1"/>
        <w:jc w:val="start"/>
        <w:rPr>
          <w:lang w:val="nl-NL"/>
        </w:rPr>
      </w:pPr>
      <w:r>
        <w:rPr>
          <w:lang w:val="nl-NL"/>
        </w:rPr>
        <w:t>L. Verschueren 1962</w:t>
      </w:r>
    </w:p>
    <w:p>
      <w:pPr>
        <w:pStyle w:val="T1"/>
        <w:numPr>
          <w:ilvl w:val="0"/>
          <w:numId w:val="3"/>
        </w:numPr>
        <w:jc w:val="start"/>
        <w:rPr>
          <w:lang w:val="en-GB"/>
        </w:rPr>
      </w:pPr>
      <w:r>
        <w:rPr>
          <w:lang w:val="en-GB"/>
        </w:rPr>
        <w:t>Man - C-a Bourdon 16'</w:t>
      </w:r>
    </w:p>
    <w:p>
      <w:pPr>
        <w:pStyle w:val="T1"/>
        <w:numPr>
          <w:ilvl w:val="0"/>
          <w:numId w:val="3"/>
        </w:numPr>
        <w:jc w:val="start"/>
        <w:rPr>
          <w:lang w:val="nl-NL"/>
        </w:rPr>
      </w:pPr>
      <w:r>
        <w:rPr>
          <w:lang w:val="nl-NL"/>
        </w:rPr>
        <w:t>Ped lade voor Subbas 16' toegevoegd (pijpwerk uit Bourdon 16')</w:t>
      </w:r>
    </w:p>
    <w:p>
      <w:pPr>
        <w:pStyle w:val="T1"/>
        <w:jc w:val="start"/>
        <w:rPr>
          <w:lang w:val="nl-NL"/>
        </w:rPr>
      </w:pPr>
      <w:r>
        <w:rPr>
          <w:lang w:val="nl-NL"/>
        </w:rPr>
      </w:r>
    </w:p>
    <w:p>
      <w:pPr>
        <w:pStyle w:val="T1"/>
        <w:jc w:val="start"/>
        <w:rPr>
          <w:lang w:val="nl-NL"/>
        </w:rPr>
      </w:pPr>
      <w:r>
        <w:rPr>
          <w:lang w:val="nl-NL"/>
        </w:rPr>
        <w:t>Hendriksen &amp; Reitsma 1974</w:t>
      </w:r>
    </w:p>
    <w:p>
      <w:pPr>
        <w:pStyle w:val="T1"/>
        <w:numPr>
          <w:ilvl w:val="0"/>
          <w:numId w:val="2"/>
        </w:numPr>
        <w:jc w:val="start"/>
        <w:rPr>
          <w:lang w:val="nl-NL"/>
        </w:rPr>
      </w:pPr>
      <w:r>
        <w:rPr>
          <w:lang w:val="nl-NL"/>
        </w:rPr>
        <w:t>orgel gerestaureerd, ingrijpend verbouwd en overgeplaatst naar nieuw kerkgebouw</w:t>
      </w:r>
    </w:p>
    <w:p>
      <w:pPr>
        <w:pStyle w:val="T1"/>
        <w:numPr>
          <w:ilvl w:val="0"/>
          <w:numId w:val="2"/>
        </w:numPr>
        <w:jc w:val="start"/>
        <w:rPr>
          <w:lang w:val="nl-NL"/>
        </w:rPr>
      </w:pPr>
      <w:r>
        <w:rPr>
          <w:lang w:val="nl-NL"/>
        </w:rPr>
        <w:t>nieuwe orgelkas met behoud van oude front</w:t>
      </w:r>
    </w:p>
    <w:p>
      <w:pPr>
        <w:pStyle w:val="T1"/>
        <w:numPr>
          <w:ilvl w:val="0"/>
          <w:numId w:val="2"/>
        </w:numPr>
        <w:jc w:val="start"/>
        <w:rPr>
          <w:lang w:val="nl-NL"/>
        </w:rPr>
      </w:pPr>
      <w:r>
        <w:rPr>
          <w:lang w:val="nl-NL"/>
        </w:rPr>
        <w:t>nieuwe windvoorziening</w:t>
      </w:r>
    </w:p>
    <w:p>
      <w:pPr>
        <w:pStyle w:val="T1"/>
        <w:numPr>
          <w:ilvl w:val="0"/>
          <w:numId w:val="2"/>
        </w:numPr>
        <w:jc w:val="start"/>
        <w:rPr>
          <w:lang w:val="nl-NL"/>
        </w:rPr>
      </w:pPr>
      <w:r>
        <w:rPr>
          <w:lang w:val="nl-NL"/>
        </w:rPr>
        <w:t>nieuwe klaviatuur en mechanieken; pedaalomvang vergroot tot C-d</w:t>
      </w:r>
      <w:r>
        <w:rPr>
          <w:vertAlign w:val="superscript"/>
          <w:lang w:val="nl-NL"/>
        </w:rPr>
        <w:t>1</w:t>
      </w:r>
    </w:p>
    <w:p>
      <w:pPr>
        <w:pStyle w:val="T1"/>
        <w:numPr>
          <w:ilvl w:val="0"/>
          <w:numId w:val="2"/>
        </w:numPr>
        <w:jc w:val="start"/>
        <w:rPr>
          <w:lang w:val="nl-NL"/>
        </w:rPr>
      </w:pPr>
      <w:r>
        <w:rPr>
          <w:lang w:val="nl-NL"/>
        </w:rPr>
        <w:t>bestaande windlade gesplitst en ingericht voor HW en NW</w:t>
      </w:r>
    </w:p>
    <w:p>
      <w:pPr>
        <w:pStyle w:val="T1"/>
        <w:numPr>
          <w:ilvl w:val="0"/>
          <w:numId w:val="2"/>
        </w:numPr>
        <w:jc w:val="start"/>
        <w:rPr>
          <w:lang w:val="nl-NL"/>
        </w:rPr>
      </w:pPr>
      <w:r>
        <w:rPr>
          <w:lang w:val="nl-NL"/>
        </w:rPr>
        <w:t>nieuwe dispositie met gebruikmaking bestaande pijpwerk</w:t>
      </w:r>
    </w:p>
    <w:p>
      <w:pPr>
        <w:pStyle w:val="T1"/>
        <w:numPr>
          <w:ilvl w:val="0"/>
          <w:numId w:val="2"/>
        </w:numPr>
        <w:jc w:val="start"/>
        <w:rPr>
          <w:lang w:val="nl-NL"/>
        </w:rPr>
      </w:pPr>
      <w:r>
        <w:rPr>
          <w:lang w:val="nl-NL"/>
        </w:rPr>
        <w:t>herintonatie pijpwerk op verlaagde winddruk</w:t>
      </w:r>
    </w:p>
    <w:p>
      <w:pPr>
        <w:pStyle w:val="T1"/>
        <w:jc w:val="start"/>
        <w:rPr>
          <w:lang w:val="nl-NL"/>
        </w:rPr>
      </w:pPr>
      <w:r>
        <w:rPr>
          <w:lang w:val="nl-NL"/>
        </w:rPr>
      </w:r>
    </w:p>
    <w:p>
      <w:pPr>
        <w:pStyle w:val="T1"/>
        <w:jc w:val="start"/>
        <w:rPr>
          <w:lang w:val="nl-NL"/>
        </w:rPr>
      </w:pPr>
      <w:r>
        <w:rPr>
          <w:lang w:val="nl-NL"/>
        </w:rPr>
        <w:t>Hendriksen &amp; Reitsma 1977</w:t>
      </w:r>
    </w:p>
    <w:p>
      <w:pPr>
        <w:pStyle w:val="T1"/>
        <w:numPr>
          <w:ilvl w:val="0"/>
          <w:numId w:val="4"/>
        </w:numPr>
        <w:jc w:val="start"/>
        <w:rPr>
          <w:lang w:val="nl-NL"/>
        </w:rPr>
      </w:pPr>
      <w:r>
        <w:rPr>
          <w:lang w:val="nl-NL"/>
        </w:rPr>
        <w:t>NW + Dulciaan 8' op vrije sleep</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024" w:type="dxa"/>
        <w:jc w:val="start"/>
        <w:tblInd w:w="0" w:type="dxa"/>
        <w:tblLayout w:type="fixed"/>
        <w:tblCellMar>
          <w:top w:w="0" w:type="dxa"/>
          <w:start w:w="70" w:type="dxa"/>
          <w:bottom w:w="0" w:type="dxa"/>
          <w:end w:w="70" w:type="dxa"/>
        </w:tblCellMar>
      </w:tblPr>
      <w:tblGrid>
        <w:gridCol w:w="1346"/>
        <w:gridCol w:w="734"/>
        <w:gridCol w:w="1534"/>
        <w:gridCol w:w="683"/>
        <w:gridCol w:w="1160"/>
        <w:gridCol w:w="567"/>
      </w:tblGrid>
      <w:tr>
        <w:trPr/>
        <w:tc>
          <w:tcPr>
            <w:tcW w:w="1346"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Mixtuur</w:t>
            </w:r>
          </w:p>
        </w:tc>
        <w:tc>
          <w:tcPr>
            <w:tcW w:w="734"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r>
              <w:rPr>
                <w:lang w:val="en-GB"/>
              </w:rPr>
              <w:t>'</w:t>
            </w:r>
          </w:p>
          <w:p>
            <w:pPr>
              <w:pStyle w:val="T4dispositie"/>
              <w:jc w:val="start"/>
              <w:rPr>
                <w:lang w:val="nl-NL"/>
              </w:rPr>
            </w:pPr>
            <w:r>
              <w:rPr>
                <w:lang w:val="nl-NL"/>
              </w:rPr>
              <w:t>8</w:t>
            </w:r>
            <w:r>
              <w:rPr>
                <w:lang w:val="en-GB"/>
              </w:rPr>
              <w:t>'</w:t>
            </w:r>
          </w:p>
          <w:p>
            <w:pPr>
              <w:pStyle w:val="T4dispositie"/>
              <w:jc w:val="start"/>
              <w:rPr>
                <w:lang w:val="nl-NL"/>
              </w:rPr>
            </w:pPr>
            <w:r>
              <w:rPr>
                <w:lang w:val="nl-NL"/>
              </w:rPr>
              <w:t>4</w:t>
            </w:r>
            <w:r>
              <w:rPr>
                <w:lang w:val="en-GB"/>
              </w:rPr>
              <w:t>'</w:t>
            </w:r>
          </w:p>
          <w:p>
            <w:pPr>
              <w:pStyle w:val="T4dispositie"/>
              <w:jc w:val="start"/>
              <w:rPr>
                <w:lang w:val="nl-NL"/>
              </w:rPr>
            </w:pPr>
            <w:r>
              <w:rPr>
                <w:lang w:val="nl-NL"/>
              </w:rPr>
              <w:t>2-3 st.</w:t>
            </w:r>
          </w:p>
        </w:tc>
        <w:tc>
          <w:tcPr>
            <w:tcW w:w="1534"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Nasard</w:t>
            </w:r>
          </w:p>
          <w:p>
            <w:pPr>
              <w:pStyle w:val="T4dispositie"/>
              <w:jc w:val="start"/>
              <w:rPr>
                <w:lang w:val="nl-NL"/>
              </w:rPr>
            </w:pPr>
            <w:r>
              <w:rPr>
                <w:lang w:val="nl-NL"/>
              </w:rPr>
              <w:t>Dulciaan</w:t>
            </w:r>
          </w:p>
        </w:tc>
        <w:tc>
          <w:tcPr>
            <w:tcW w:w="68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8</w:t>
            </w:r>
            <w:r>
              <w:rPr>
                <w:lang w:val="en-GB"/>
              </w:rPr>
              <w:t>'</w:t>
            </w:r>
          </w:p>
        </w:tc>
        <w:tc>
          <w:tcPr>
            <w:tcW w:w="1160"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56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r>
              <w:rPr>
                <w:lang w:val="en-GB"/>
              </w:rPr>
              <w:t>'</w:t>
            </w:r>
          </w:p>
        </w:tc>
      </w:tr>
    </w:tbl>
    <w:p>
      <w:pPr>
        <w:pStyle w:val="T1"/>
        <w:jc w:val="start"/>
        <w:rPr>
          <w:lang w:val="nl-NL"/>
        </w:rPr>
      </w:pPr>
      <w:r>
        <w:rPr>
          <w:lang w:val="nl-NL"/>
        </w:rPr>
      </w:r>
    </w:p>
    <w:p>
      <w:pPr>
        <w:pStyle w:val="T1"/>
        <w:jc w:val="start"/>
        <w:rPr>
          <w:lang w:val="nl-NL"/>
        </w:rPr>
      </w:pPr>
      <w:r>
        <w:rPr>
          <w:lang w:val="nl-NL"/>
        </w:rPr>
        <w:t>Werktuigelijke registers</w:t>
      </w:r>
    </w:p>
    <w:p>
      <w:pPr>
        <w:pStyle w:val="T1"/>
        <w:jc w:val="start"/>
        <w:rPr>
          <w:lang w:val="nl-NL"/>
        </w:rPr>
      </w:pPr>
      <w:r>
        <w:rPr>
          <w:lang w:val="nl-NL"/>
        </w:rPr>
        <w:t>koppelingen HW-NW, Ped-HW, Ped-NW</w:t>
      </w:r>
    </w:p>
    <w:p>
      <w:pPr>
        <w:pStyle w:val="T1"/>
        <w:jc w:val="start"/>
        <w:rPr>
          <w:lang w:val="nl-NL"/>
        </w:rPr>
      </w:pPr>
      <w:r>
        <w:rPr>
          <w:lang w:val="nl-NL"/>
        </w:rPr>
        <w:t>tremulant NW</w:t>
      </w:r>
    </w:p>
    <w:p>
      <w:pPr>
        <w:pStyle w:val="T1"/>
        <w:jc w:val="start"/>
        <w:rPr>
          <w:lang w:val="nl-NL"/>
        </w:rPr>
      </w:pPr>
      <w:r>
        <w:rPr>
          <w:lang w:val="nl-NL"/>
        </w:rPr>
      </w:r>
    </w:p>
    <w:p>
      <w:pPr>
        <w:pStyle w:val="T1"/>
        <w:jc w:val="start"/>
        <w:rPr>
          <w:lang w:val="nl-NL"/>
        </w:rPr>
      </w:pPr>
      <w:r>
        <w:rPr>
          <w:lang w:val="nl-NL"/>
        </w:rPr>
        <w:t>Samenstelling vulstem</w:t>
      </w:r>
    </w:p>
    <w:tbl>
      <w:tblPr>
        <w:tblW w:w="3508" w:type="dxa"/>
        <w:jc w:val="start"/>
        <w:tblInd w:w="0" w:type="dxa"/>
        <w:tblLayout w:type="fixed"/>
        <w:tblCellMar>
          <w:top w:w="0" w:type="dxa"/>
          <w:start w:w="70" w:type="dxa"/>
          <w:bottom w:w="0" w:type="dxa"/>
          <w:end w:w="70" w:type="dxa"/>
        </w:tblCellMar>
      </w:tblPr>
      <w:tblGrid>
        <w:gridCol w:w="1023"/>
        <w:gridCol w:w="619"/>
        <w:gridCol w:w="619"/>
        <w:gridCol w:w="628"/>
        <w:gridCol w:w="619"/>
      </w:tblGrid>
      <w:tr>
        <w:trPr/>
        <w:tc>
          <w:tcPr>
            <w:tcW w:w="1023" w:type="dxa"/>
            <w:tcBorders/>
          </w:tcPr>
          <w:p>
            <w:pPr>
              <w:pStyle w:val="T1"/>
              <w:jc w:val="start"/>
              <w:rPr>
                <w:lang w:val="nl-NL"/>
              </w:rPr>
            </w:pPr>
            <w:r>
              <w:rPr>
                <w:lang w:val="nl-NL"/>
              </w:rPr>
              <w:t>Mixtuur</w:t>
            </w:r>
          </w:p>
        </w:tc>
        <w:tc>
          <w:tcPr>
            <w:tcW w:w="619" w:type="dxa"/>
            <w:tcBorders/>
          </w:tcPr>
          <w:p>
            <w:pPr>
              <w:pStyle w:val="T4dispositie"/>
              <w:rPr/>
            </w:pPr>
            <w:r>
              <w:rPr/>
              <w:t>C</w:t>
            </w:r>
          </w:p>
          <w:p>
            <w:pPr>
              <w:pStyle w:val="T4dispositie"/>
              <w:rPr/>
            </w:pPr>
            <w:r>
              <w:rPr/>
              <w:t>1 1/3</w:t>
            </w:r>
          </w:p>
          <w:p>
            <w:pPr>
              <w:pStyle w:val="T4dispositie"/>
              <w:rPr/>
            </w:pPr>
            <w:r>
              <w:rPr/>
              <w:t>1</w:t>
            </w:r>
          </w:p>
        </w:tc>
        <w:tc>
          <w:tcPr>
            <w:tcW w:w="619" w:type="dxa"/>
            <w:tcBorders/>
          </w:tcPr>
          <w:p>
            <w:pPr>
              <w:pStyle w:val="T4dispositie"/>
              <w:rPr/>
            </w:pPr>
            <w:r>
              <w:rPr/>
              <w:t>c</w:t>
            </w:r>
            <w:r>
              <w:rPr>
                <w:vertAlign w:val="superscript"/>
              </w:rPr>
              <w:t>1</w:t>
            </w:r>
          </w:p>
          <w:p>
            <w:pPr>
              <w:pStyle w:val="T4dispositie"/>
              <w:rPr/>
            </w:pPr>
            <w:r>
              <w:rPr/>
              <w:t>2</w:t>
            </w:r>
          </w:p>
          <w:p>
            <w:pPr>
              <w:pStyle w:val="T4dispositie"/>
              <w:rPr/>
            </w:pPr>
            <w:r>
              <w:rPr/>
              <w:t>1 1/3</w:t>
            </w:r>
          </w:p>
          <w:p>
            <w:pPr>
              <w:pStyle w:val="T4dispositie"/>
              <w:rPr/>
            </w:pPr>
            <w:r>
              <w:rPr/>
              <w:t>1</w:t>
            </w:r>
          </w:p>
        </w:tc>
        <w:tc>
          <w:tcPr>
            <w:tcW w:w="628" w:type="dxa"/>
            <w:tcBorders/>
          </w:tcPr>
          <w:p>
            <w:pPr>
              <w:pStyle w:val="T4dispositie"/>
              <w:rPr/>
            </w:pPr>
            <w:r>
              <w:rPr/>
              <w:t>c</w:t>
            </w:r>
            <w:r>
              <w:rPr>
                <w:vertAlign w:val="superscript"/>
              </w:rPr>
              <w:t>2</w:t>
            </w:r>
          </w:p>
          <w:p>
            <w:pPr>
              <w:pStyle w:val="T4dispositie"/>
              <w:rPr/>
            </w:pPr>
            <w:r>
              <w:rPr/>
              <w:t>2 2/3</w:t>
            </w:r>
          </w:p>
          <w:p>
            <w:pPr>
              <w:pStyle w:val="T4dispositie"/>
              <w:rPr/>
            </w:pPr>
            <w:r>
              <w:rPr/>
              <w:t>2</w:t>
            </w:r>
          </w:p>
          <w:p>
            <w:pPr>
              <w:pStyle w:val="T4dispositie"/>
              <w:rPr/>
            </w:pPr>
            <w:r>
              <w:rPr/>
              <w:t>1 1/3</w:t>
            </w:r>
          </w:p>
        </w:tc>
        <w:tc>
          <w:tcPr>
            <w:tcW w:w="619" w:type="dxa"/>
            <w:tcBorders/>
          </w:tcPr>
          <w:p>
            <w:pPr>
              <w:pStyle w:val="T4dispositie"/>
              <w:rPr/>
            </w:pPr>
            <w:r>
              <w:rPr/>
              <w:t>c</w:t>
            </w:r>
            <w:r>
              <w:rPr>
                <w:vertAlign w:val="superscript"/>
              </w:rPr>
              <w:t>3</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verbouwing van 1974 werd de manuaalwindlade ingrijpend gewijzigd en heringedeeld voor een hoofdwerk-nevenwerk opstelling met een (nieuwe) ventielkast aan de voorzijde en een (de oude) aan de achterzijde. De lade is ingedeeld in hele tonen; de pijpen lopen qua grootte vanuit het midden naar de zijkanten af. Het Ped is geplaatst op twee kleine windladen, rechts en links in de onderkas gesitueerd.</w:t>
      </w:r>
    </w:p>
    <w:p>
      <w:pPr>
        <w:pStyle w:val="T1"/>
        <w:jc w:val="start"/>
        <w:rPr>
          <w:lang w:val="nl-NL"/>
        </w:rPr>
      </w:pPr>
      <w:r>
        <w:rPr>
          <w:lang w:val="nl-NL"/>
        </w:rPr>
        <w:t>Houten pijpen zijn toegepast bij de Subbas 16' (C-h) en de Roerfluit 8' (C-H). Dit register is in het groot octaaf gedekt en heeft vanaf c roeren. Pijpwerk van Van Oeckelen bleef bewaard in alle registers behalve de Mixtuur, de Holpijp 8', de Nasard 1 1/3' en de Dulciaan 8'.</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lang w:val="nl-NL"/>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lang w:val="nl-N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Subtitle">
    <w:name w:val="Subtitle"/>
    <w:basedOn w:val="Kop"/>
    <w:next w:val="TextBody"/>
    <w:qFormat/>
    <w:pPr>
      <w:jc w:val="center"/>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2008-05-05T13:16:00Z</dcterms:created>
  <dc:creator>WS1</dc:creator>
  <dc:description/>
  <dc:language>en-US</dc:language>
  <cp:lastModifiedBy>NIvO</cp:lastModifiedBy>
  <dcterms:modified xsi:type="dcterms:W3CDTF">2008-05-05T13:16:00Z</dcterms:modified>
  <cp:revision>2</cp:revision>
  <dc:subject/>
  <dc:title>Steenwijk / 1880</dc:title>
</cp:coreProperties>
</file>