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Eijsden-Mariadorp / 1897</w:t>
      </w:r>
    </w:p>
    <w:p>
      <w:pPr>
        <w:pStyle w:val="Heading2"/>
        <w:rPr>
          <w:i w:val="false"/>
          <w:i w:val="false"/>
          <w:iCs/>
        </w:rPr>
      </w:pPr>
      <w:r>
        <w:rPr>
          <w:i w:val="false"/>
          <w:iCs/>
        </w:rPr>
        <w:t>R.K. Onze Lieve Vrouwe Tenhemelopneming</w:t>
      </w:r>
    </w:p>
    <w:p>
      <w:pPr>
        <w:pStyle w:val="T1"/>
        <w:jc w:val="start"/>
        <w:rPr>
          <w:i/>
          <w:i/>
          <w:iCs/>
          <w:lang w:val="nl-NL"/>
        </w:rPr>
      </w:pPr>
      <w:r>
        <w:rPr>
          <w:i/>
          <w:iCs/>
          <w:lang w:val="nl-NL"/>
        </w:rPr>
      </w:r>
    </w:p>
    <w:p>
      <w:pPr>
        <w:pStyle w:val="T1"/>
        <w:jc w:val="start"/>
        <w:rPr>
          <w:i/>
          <w:i/>
          <w:iCs/>
          <w:lang w:val="nl-NL"/>
        </w:rPr>
      </w:pPr>
      <w:r>
        <w:rPr>
          <w:i/>
          <w:iCs/>
          <w:lang w:val="nl-NL"/>
        </w:rPr>
        <w:t>Bakstenen zaalkerk met plat dak gebouwd 1959-1960 naar ontwerp van Eugène Hoen. De toren staat tegen de linkerzijkant van de kerk; aan de andere zijde bevindt zich een kleine zijbeuk. Kerk en toren zijn in 1996 ingrijpend gerestaureerd en van een nieuwe dak en buitenspouwblad in witte verblendsteen voorzien. Inrichting uit de bouwtijd.</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eenvoudige orgel, dat toch grandeur uitstraalt, ook achter de moderne balustrade waarachter het in de huidige situatie schuil gaat. </w:t>
      </w:r>
      <w:r>
        <w:rPr>
          <w:lang w:val="nl-NL"/>
        </w:rPr>
        <w:t xml:space="preserve">Anders dan soms wel het geval is met dit eenvoudige blokvormige model met drie velden, wat in deze periode door een reeks bouwers is toegepast, zijn hier de verhoudingen van de kas optimaal. De zijvelden zijn aanzienlijk smaller dan het middendeel, de labia hangen sierlijk als een bloemenkrans. We zien in alle drie de velden een tootboog in een spitston, ook hier ten opzichte van elkaar mooi in verhouding gebracht. </w:t>
      </w:r>
      <w:r>
        <w:rPr/>
        <w:t xml:space="preserve">Qua maat, maar ook in de mate waarin de decoratie weelderig is: in het midden net iets meer dan in de zijvelden. </w:t>
      </w:r>
      <w:r>
        <w:rPr>
          <w:lang w:val="nl-NL"/>
        </w:rPr>
        <w:t>Pinakels met hogels en een reeks toten bekronen de kas.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204.</w:t>
      </w:r>
    </w:p>
    <w:p>
      <w:pPr>
        <w:pStyle w:val="T3Lit"/>
        <w:jc w:val="start"/>
        <w:rPr>
          <w:lang w:val="nl-NL"/>
        </w:rPr>
      </w:pPr>
      <w:r>
        <w:rPr>
          <w:lang w:val="nl-NL"/>
        </w:rPr>
      </w:r>
    </w:p>
    <w:p>
      <w:pPr>
        <w:pStyle w:val="T3Lit"/>
        <w:jc w:val="start"/>
        <w:rPr>
          <w:lang w:val="nl-NL"/>
        </w:rPr>
      </w:pPr>
      <w:r>
        <w:rPr>
          <w:b/>
          <w:lang w:val="nl-NL"/>
        </w:rPr>
        <w:t>Niet gepubliceerde bron</w:t>
      </w:r>
    </w:p>
    <w:p>
      <w:pPr>
        <w:pStyle w:val="T3Lit"/>
        <w:jc w:val="start"/>
        <w:rPr/>
      </w:pPr>
      <w:r>
        <w:rPr>
          <w:lang w:val="nl-NL"/>
        </w:rPr>
        <w:t xml:space="preserve">Rogér van Dijk, </w:t>
      </w:r>
      <w:r>
        <w:rPr>
          <w:i/>
          <w:lang w:val="nl-NL"/>
        </w:rPr>
        <w:t>Rapport betreffende het Pereboom &amp; Leijser-orgel in de kerk van Onze Lieve Vrouwe Tenhemelopneming te Eijsden</w:t>
      </w:r>
      <w:r>
        <w:rPr>
          <w:lang w:val="nl-NL"/>
        </w:rPr>
        <w:t>. Utrecht, 2006.</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Eijsden, kapel klooster zusters Ursulinen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windvoorziening deels vernieuwd en gewijzigd</w:t>
      </w:r>
    </w:p>
    <w:p>
      <w:pPr>
        <w:pStyle w:val="T1"/>
        <w:numPr>
          <w:ilvl w:val="0"/>
          <w:numId w:val="3"/>
        </w:numPr>
        <w:jc w:val="start"/>
        <w:rPr>
          <w:lang w:val="nl-NL"/>
        </w:rPr>
      </w:pPr>
      <w:r>
        <w:rPr>
          <w:lang w:val="nl-NL"/>
        </w:rPr>
        <w:t>GO Montre 8' $ Prestant 4'</w:t>
      </w:r>
    </w:p>
    <w:p>
      <w:pPr>
        <w:pStyle w:val="T1"/>
        <w:jc w:val="start"/>
        <w:rPr>
          <w:lang w:val="nl-NL"/>
        </w:rPr>
      </w:pPr>
      <w:r>
        <w:rPr>
          <w:lang w:val="nl-NL"/>
        </w:rPr>
      </w:r>
    </w:p>
    <w:p>
      <w:pPr>
        <w:pStyle w:val="T1"/>
        <w:jc w:val="start"/>
        <w:rPr>
          <w:lang w:val="nl-NL"/>
        </w:rPr>
      </w:pPr>
      <w:r>
        <w:rPr>
          <w:lang w:val="nl-NL"/>
        </w:rPr>
        <w:t>1974</w:t>
      </w:r>
    </w:p>
    <w:p>
      <w:pPr>
        <w:pStyle w:val="T1"/>
        <w:numPr>
          <w:ilvl w:val="0"/>
          <w:numId w:val="2"/>
        </w:numPr>
        <w:jc w:val="start"/>
        <w:rPr>
          <w:lang w:val="nl-NL"/>
        </w:rPr>
      </w:pPr>
      <w:r>
        <w:rPr>
          <w:lang w:val="nl-NL"/>
        </w:rPr>
        <w:t>orgel overgeplaatst naar Eijsden, R.K. Onze Lieve Vrouwe Tenhemelopneming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pédale</w:t>
      </w:r>
    </w:p>
    <w:p>
      <w:pPr>
        <w:pStyle w:val="T1"/>
        <w:jc w:val="start"/>
        <w:rPr>
          <w:lang w:val="nl-NL"/>
        </w:rPr>
      </w:pPr>
      <w:r>
        <w:rPr>
          <w:lang w:val="nl-NL"/>
        </w:rPr>
      </w:r>
    </w:p>
    <w:p>
      <w:pPr>
        <w:pStyle w:val="T1"/>
        <w:jc w:val="start"/>
        <w:rPr/>
      </w:pPr>
      <w:r>
        <w:rPr/>
        <w:t>Dispositie</w:t>
      </w:r>
    </w:p>
    <w:tbl>
      <w:tblPr>
        <w:tblW w:w="5250" w:type="dxa"/>
        <w:jc w:val="start"/>
        <w:tblInd w:w="-70" w:type="dxa"/>
        <w:tblLayout w:type="fixed"/>
        <w:tblCellMar>
          <w:top w:w="0" w:type="dxa"/>
          <w:start w:w="70" w:type="dxa"/>
          <w:bottom w:w="0" w:type="dxa"/>
          <w:end w:w="70" w:type="dxa"/>
        </w:tblCellMar>
      </w:tblPr>
      <w:tblGrid>
        <w:gridCol w:w="1510"/>
        <w:gridCol w:w="360"/>
        <w:gridCol w:w="1260"/>
        <w:gridCol w:w="580"/>
        <w:gridCol w:w="820"/>
        <w:gridCol w:w="720"/>
      </w:tblGrid>
      <w:tr>
        <w:trPr/>
        <w:tc>
          <w:tcPr>
            <w:tcW w:w="1510" w:type="dxa"/>
            <w:tcBorders/>
          </w:tcPr>
          <w:p>
            <w:pPr>
              <w:pStyle w:val="T4dispositie"/>
              <w:jc w:val="start"/>
              <w:rPr>
                <w:lang w:val="nl-NL"/>
              </w:rPr>
            </w:pPr>
            <w:r>
              <w:rPr>
                <w:i/>
                <w:iCs/>
                <w:lang w:val="nl-NL"/>
              </w:rPr>
              <w:t>Grand Orgue (II)</w:t>
            </w:r>
          </w:p>
          <w:p>
            <w:pPr>
              <w:pStyle w:val="Normal"/>
              <w:rPr/>
            </w:pPr>
            <w:r>
              <w:rPr>
                <w:rFonts w:cs="Times New Roman" w:ascii="Times New Roman" w:hAnsi="Times New Roman"/>
                <w:sz w:val="20"/>
              </w:rPr>
              <w:t>6 stemm</w:t>
            </w:r>
            <w:r>
              <w:rPr>
                <w:rFonts w:cs="Times New Roman" w:ascii="Times New Roman" w:hAnsi="Times New Roman"/>
                <w:sz w:val="20"/>
                <w:lang w:val="en-GB"/>
              </w:rPr>
              <w:t>en</w:t>
            </w:r>
          </w:p>
          <w:p>
            <w:pPr>
              <w:pStyle w:val="Normal"/>
              <w:rPr>
                <w:rFonts w:ascii="Times New Roman" w:hAnsi="Times New Roman" w:cs="Times New Roman"/>
                <w:sz w:val="20"/>
                <w:lang w:val="en-GB"/>
              </w:rPr>
            </w:pPr>
            <w:r>
              <w:rPr>
                <w:rFonts w:cs="Times New Roman" w:ascii="Times New Roman" w:hAnsi="Times New Roman"/>
                <w:sz w:val="20"/>
                <w:lang w:val="en-GB"/>
              </w:rPr>
            </w:r>
          </w:p>
          <w:p>
            <w:pPr>
              <w:pStyle w:val="Normal"/>
              <w:rPr>
                <w:rFonts w:ascii="Times New Roman" w:hAnsi="Times New Roman" w:cs="Times New Roman"/>
                <w:sz w:val="20"/>
                <w:lang w:val="en-GB"/>
              </w:rPr>
            </w:pPr>
            <w:r>
              <w:rPr>
                <w:rFonts w:cs="Times New Roman" w:ascii="Times New Roman" w:hAnsi="Times New Roman"/>
                <w:sz w:val="20"/>
                <w:lang w:val="en-GB"/>
              </w:rPr>
              <w:t xml:space="preserve">Flute ouverte </w:t>
            </w:r>
          </w:p>
          <w:p>
            <w:pPr>
              <w:pStyle w:val="Normal"/>
              <w:rPr>
                <w:rFonts w:ascii="Times New Roman" w:hAnsi="Times New Roman" w:cs="Times New Roman"/>
                <w:sz w:val="20"/>
                <w:lang w:val="en-GB"/>
              </w:rPr>
            </w:pPr>
            <w:r>
              <w:rPr>
                <w:rFonts w:cs="Times New Roman" w:ascii="Times New Roman" w:hAnsi="Times New Roman"/>
                <w:sz w:val="20"/>
                <w:lang w:val="en-GB"/>
              </w:rPr>
              <w:t>Viole de Gambe</w:t>
            </w:r>
          </w:p>
          <w:p>
            <w:pPr>
              <w:pStyle w:val="Normal"/>
              <w:rPr>
                <w:rFonts w:ascii="Times New Roman" w:hAnsi="Times New Roman" w:cs="Times New Roman"/>
                <w:sz w:val="20"/>
                <w:lang w:val="en-GB"/>
              </w:rPr>
            </w:pPr>
            <w:r>
              <w:rPr>
                <w:rFonts w:cs="Times New Roman" w:ascii="Times New Roman" w:hAnsi="Times New Roman"/>
                <w:sz w:val="20"/>
                <w:lang w:val="en-GB"/>
              </w:rPr>
              <w:t>Prestant</w:t>
            </w:r>
          </w:p>
          <w:p>
            <w:pPr>
              <w:pStyle w:val="Normal"/>
              <w:rPr>
                <w:rFonts w:ascii="Times New Roman" w:hAnsi="Times New Roman" w:cs="Times New Roman"/>
                <w:sz w:val="20"/>
                <w:lang w:val="en-GB"/>
              </w:rPr>
            </w:pPr>
            <w:r>
              <w:rPr>
                <w:rFonts w:cs="Times New Roman" w:ascii="Times New Roman" w:hAnsi="Times New Roman"/>
                <w:sz w:val="20"/>
                <w:lang w:val="en-GB"/>
              </w:rPr>
              <w:t>Flute</w:t>
            </w:r>
          </w:p>
          <w:p>
            <w:pPr>
              <w:pStyle w:val="T4dispositie"/>
              <w:jc w:val="start"/>
              <w:rPr>
                <w:lang w:val="fr-FR"/>
              </w:rPr>
            </w:pPr>
            <w:r>
              <w:rPr>
                <w:lang w:val="fr-FR"/>
              </w:rPr>
              <w:t>Basson Hautbois</w:t>
            </w:r>
          </w:p>
        </w:tc>
        <w:tc>
          <w:tcPr>
            <w:tcW w:w="36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nl-NL"/>
              </w:rPr>
            </w:pPr>
            <w:r>
              <w:rPr>
                <w:lang w:val="nl-NL"/>
              </w:rPr>
              <w:t>4'</w:t>
            </w:r>
          </w:p>
          <w:p>
            <w:pPr>
              <w:pStyle w:val="T4dispositie"/>
              <w:jc w:val="start"/>
              <w:rPr>
                <w:lang w:val="nl-NL"/>
              </w:rPr>
            </w:pPr>
            <w:r>
              <w:rPr/>
              <w:t>8'</w:t>
            </w:r>
          </w:p>
        </w:tc>
        <w:tc>
          <w:tcPr>
            <w:tcW w:w="1260" w:type="dxa"/>
            <w:tcBorders/>
          </w:tcPr>
          <w:p>
            <w:pPr>
              <w:pStyle w:val="Normal"/>
              <w:rPr>
                <w:rFonts w:ascii="Times New Roman" w:hAnsi="Times New Roman" w:cs="Times New Roman"/>
                <w:i/>
                <w:i/>
                <w:sz w:val="20"/>
                <w:lang w:val="en-GB"/>
              </w:rPr>
            </w:pPr>
            <w:r>
              <w:rPr>
                <w:rFonts w:cs="Times New Roman" w:ascii="Times New Roman" w:hAnsi="Times New Roman"/>
                <w:i/>
                <w:sz w:val="20"/>
                <w:lang w:val="en-GB"/>
              </w:rPr>
              <w:t>Positif (I)</w:t>
            </w:r>
          </w:p>
          <w:p>
            <w:pPr>
              <w:pStyle w:val="Normal"/>
              <w:rPr>
                <w:rFonts w:ascii="Times New Roman" w:hAnsi="Times New Roman" w:cs="Times New Roman"/>
                <w:sz w:val="20"/>
                <w:lang w:val="en-GB"/>
              </w:rPr>
            </w:pPr>
            <w:r>
              <w:rPr>
                <w:rFonts w:cs="Times New Roman" w:ascii="Times New Roman" w:hAnsi="Times New Roman"/>
                <w:sz w:val="20"/>
                <w:lang w:val="en-GB"/>
              </w:rPr>
              <w:t>3 stemmen</w:t>
            </w:r>
          </w:p>
          <w:p>
            <w:pPr>
              <w:pStyle w:val="Normal"/>
              <w:rPr>
                <w:rFonts w:ascii="Times New Roman" w:hAnsi="Times New Roman" w:cs="Times New Roman"/>
                <w:sz w:val="20"/>
                <w:lang w:val="en-GB"/>
              </w:rPr>
            </w:pPr>
            <w:r>
              <w:rPr>
                <w:rFonts w:cs="Times New Roman" w:ascii="Times New Roman" w:hAnsi="Times New Roman"/>
                <w:sz w:val="20"/>
                <w:lang w:val="en-GB"/>
              </w:rPr>
            </w:r>
          </w:p>
          <w:p>
            <w:pPr>
              <w:pStyle w:val="Normal"/>
              <w:rPr>
                <w:rFonts w:ascii="Times New Roman" w:hAnsi="Times New Roman" w:cs="Times New Roman"/>
                <w:sz w:val="20"/>
                <w:lang w:val="fr-FR"/>
              </w:rPr>
            </w:pPr>
            <w:r>
              <w:rPr>
                <w:rFonts w:cs="Times New Roman" w:ascii="Times New Roman" w:hAnsi="Times New Roman"/>
                <w:sz w:val="20"/>
                <w:lang w:val="fr-FR"/>
              </w:rPr>
              <w:t>Bourdon</w:t>
            </w:r>
          </w:p>
          <w:p>
            <w:pPr>
              <w:pStyle w:val="Normal"/>
              <w:rPr>
                <w:rFonts w:ascii="Times New Roman" w:hAnsi="Times New Roman" w:cs="Times New Roman"/>
                <w:sz w:val="20"/>
                <w:lang w:val="fr-FR"/>
              </w:rPr>
            </w:pPr>
            <w:r>
              <w:rPr>
                <w:rFonts w:cs="Times New Roman" w:ascii="Times New Roman" w:hAnsi="Times New Roman"/>
                <w:sz w:val="20"/>
                <w:lang w:val="fr-FR"/>
              </w:rPr>
              <w:t>Salicional</w:t>
            </w:r>
          </w:p>
          <w:p>
            <w:pPr>
              <w:pStyle w:val="T4dispositie"/>
              <w:jc w:val="start"/>
              <w:rPr>
                <w:lang w:val="fr-FR"/>
              </w:rPr>
            </w:pPr>
            <w:r>
              <w:rPr>
                <w:lang w:val="fr-FR"/>
              </w:rPr>
              <w:t>Voix Célèste</w:t>
            </w:r>
          </w:p>
        </w:tc>
        <w:tc>
          <w:tcPr>
            <w:tcW w:w="58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r>
              <w:rPr>
                <w:lang w:val="nl-NL"/>
              </w:rPr>
              <w:t>'</w:t>
            </w:r>
          </w:p>
          <w:p>
            <w:pPr>
              <w:pStyle w:val="T4dispositie"/>
              <w:jc w:val="start"/>
              <w:rPr>
                <w:lang w:val="fr-FR"/>
              </w:rPr>
            </w:pPr>
            <w:r>
              <w:rPr>
                <w:lang w:val="fr-FR"/>
              </w:rPr>
              <w:t>8</w:t>
            </w:r>
            <w:r>
              <w:rPr>
                <w:lang w:val="nl-NL"/>
              </w:rPr>
              <w:t>'</w:t>
            </w:r>
          </w:p>
        </w:tc>
        <w:tc>
          <w:tcPr>
            <w:tcW w:w="820" w:type="dxa"/>
            <w:tcBorders/>
          </w:tcPr>
          <w:p>
            <w:pPr>
              <w:pStyle w:val="T4dispositie"/>
              <w:jc w:val="start"/>
              <w:rPr>
                <w:i/>
                <w:i/>
                <w:lang w:val="fr-FR"/>
              </w:rPr>
            </w:pPr>
            <w:r>
              <w:rPr>
                <w:i/>
                <w:lang w:val="fr-FR"/>
              </w:rPr>
              <w:t>Pédale</w:t>
            </w:r>
          </w:p>
          <w:p>
            <w:pPr>
              <w:pStyle w:val="T4dispositie"/>
              <w:jc w:val="start"/>
              <w:rPr>
                <w:lang w:val="fr-FR"/>
              </w:rPr>
            </w:pPr>
            <w:r>
              <w:rPr>
                <w:lang w:val="fr-FR"/>
              </w:rPr>
              <w:t>1 stem</w:t>
            </w:r>
          </w:p>
          <w:p>
            <w:pPr>
              <w:pStyle w:val="T4dispositie"/>
              <w:jc w:val="start"/>
              <w:rPr>
                <w:lang w:val="fr-FR"/>
              </w:rPr>
            </w:pPr>
            <w:r>
              <w:rPr>
                <w:lang w:val="fr-FR"/>
              </w:rPr>
            </w:r>
          </w:p>
          <w:p>
            <w:pPr>
              <w:pStyle w:val="T4dispositie"/>
              <w:jc w:val="start"/>
              <w:rPr>
                <w:lang w:val="nl-NL"/>
              </w:rPr>
            </w:pPr>
            <w:r>
              <w:rPr>
                <w:lang w:val="nl-NL"/>
              </w:rPr>
              <w:t>Bourdon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trede claviers (manuaalkoppel)</w:t>
      </w:r>
    </w:p>
    <w:p>
      <w:pPr>
        <w:pStyle w:val="Normal"/>
        <w:rPr>
          <w:rFonts w:ascii="Times New Roman" w:hAnsi="Times New Roman" w:cs="Times New Roman"/>
          <w:szCs w:val="24"/>
        </w:rPr>
      </w:pPr>
      <w:r>
        <w:rPr>
          <w:rFonts w:cs="Times New Roman" w:ascii="Times New Roman" w:hAnsi="Times New Roman"/>
          <w:szCs w:val="24"/>
        </w:rPr>
        <w:t>trede GrOrg-Péd</w:t>
      </w:r>
    </w:p>
    <w:p>
      <w:pPr>
        <w:pStyle w:val="Normal"/>
        <w:rPr>
          <w:rFonts w:ascii="Times New Roman" w:hAnsi="Times New Roman" w:cs="Times New Roman"/>
          <w:szCs w:val="24"/>
        </w:rPr>
      </w:pPr>
      <w:r>
        <w:rPr>
          <w:rFonts w:cs="Times New Roman" w:ascii="Times New Roman" w:hAnsi="Times New Roman"/>
          <w:szCs w:val="24"/>
        </w:rPr>
        <w:t>trede Posi-Péd</w:t>
      </w:r>
    </w:p>
    <w:p>
      <w:pPr>
        <w:pStyle w:val="Normal"/>
        <w:rPr>
          <w:rFonts w:ascii="Times New Roman" w:hAnsi="Times New Roman" w:cs="Times New Roman"/>
          <w:szCs w:val="24"/>
        </w:rPr>
      </w:pPr>
      <w:r>
        <w:rPr>
          <w:rFonts w:cs="Times New Roman" w:ascii="Times New Roman" w:hAnsi="Times New Roman"/>
          <w:szCs w:val="24"/>
        </w:rPr>
        <w:t>trede expressif (zwelkast I en II)</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enkele vouw</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instrument is vrijwel geheel in één zwelkast opgesteld. De frontzijde en de zijwanden van de kas zijn van eiken; de achterwand is grotendeels van grenen. Achter de Bourdon 16' die op de stemplank staat, is, waarschijnlijk bij de overplaatsing, een eenvoudige betimmering van zachtboard aangebracht. Opvallend is tenslotte de constructie door middel van katrollen waarmee de panelen aan de achterzijde worden opgetrokken om het pijpwerk te kunnen stemmen.</w:t>
      </w:r>
    </w:p>
    <w:p>
      <w:pPr>
        <w:pStyle w:val="T1"/>
        <w:jc w:val="start"/>
        <w:rPr>
          <w:lang w:val="nl-NL"/>
        </w:rPr>
      </w:pPr>
      <w:r>
        <w:rPr>
          <w:lang w:val="nl-NL"/>
        </w:rPr>
        <w:t>De magazijnbalg bevindt zich in de onderkas. De windkanalen naar de lade van de manualen zijn van hout en deels met blauw papier beplakt. Het conduct naar de lade van de Bourdon 16' is deels van karton, deels van zink en deels van westaflex.</w:t>
      </w:r>
    </w:p>
    <w:p>
      <w:pPr>
        <w:pStyle w:val="T1"/>
        <w:jc w:val="start"/>
        <w:rPr>
          <w:lang w:val="nl-NL"/>
        </w:rPr>
      </w:pPr>
      <w:r>
        <w:rPr>
          <w:lang w:val="nl-NL"/>
        </w:rPr>
        <w:t>Op het klavierplankje is het porseleinen naamplaatje van de firma Pereboom &amp; Leijser nog aanwezig. De ronde registertrekkers van de handklavieren zijn in een horizontale rij boven de lessenaarbak geplaatst, waarbij geheel aan de linkerzijde nog sporen van een dichtgezette opening zichtbaar zijn. De knop voor de Bourdon 16' zit rechts naast de lessenaar. De registeropschriften zijn aangebracht op porseleinen plaatjes waarbij voor GO zwarte letters, voor het Pos blauwe letters en voor het Péd rode letters zijn toegepast. De plaatjes bij de treden hebben zwarte opschriften. Voor de Prestant 4' is een afwijkend registerplaatje aanwezig. De handklavieren zijn voorzien van ebben boventoetsen en met been belegde ondertoetsen. Het pedaalklavier is van eiken en de treden voor de koppelingen zijn van ijzer. De trede voor de zwelkast is uitgevoerd als basculetrede.</w:t>
      </w:r>
    </w:p>
    <w:p>
      <w:pPr>
        <w:pStyle w:val="T1"/>
        <w:jc w:val="start"/>
        <w:rPr>
          <w:lang w:val="nl-NL"/>
        </w:rPr>
      </w:pPr>
      <w:r>
        <w:rPr>
          <w:lang w:val="nl-NL"/>
        </w:rPr>
        <w:t>De registermechaniek voor de Bourdon 16' van het Péd is aangelegd als afsluiter voor het bijbehorende windkanaal. De wellenborden zijn van eiken en voorzien van metalen wellen; de armpjes en winkelhaken zijn van messing en de abstracten van grenen.</w:t>
      </w:r>
    </w:p>
    <w:p>
      <w:pPr>
        <w:pStyle w:val="T1"/>
        <w:jc w:val="start"/>
        <w:rPr/>
      </w:pPr>
      <w:r>
        <w:rPr/>
        <w:t xml:space="preserve">Het pijpwerk van de beide manualen staat op een gecombineerde windlade met de registers van het Pos aan de frontzijde. Voor beide delen is een aparte ventielkast aanwezig. De opstelling is diatonisch. </w:t>
      </w:r>
      <w:r>
        <w:rPr>
          <w:lang w:val="nl-NL"/>
        </w:rPr>
        <w:t>C-dis staan in het midden, het vervolg is in hele tonen van buiten naar binnen aflopend opgesteld.</w:t>
      </w:r>
    </w:p>
    <w:p>
      <w:pPr>
        <w:pStyle w:val="T1"/>
        <w:jc w:val="start"/>
        <w:rPr/>
      </w:pPr>
      <w:r>
        <w:rPr>
          <w:lang w:val="nl-NL"/>
        </w:rPr>
        <w:t>Alle frontpijpen zijn loos en van hout. De Flute ouverte 8' is van C-c van hout, open met stemschuiven; het vervolg is van metaal en voorzien van expressions tot en met a</w:t>
      </w:r>
      <w:r>
        <w:rPr>
          <w:vertAlign w:val="superscript"/>
          <w:lang w:val="nl-NL"/>
        </w:rPr>
        <w:t>1</w:t>
      </w:r>
      <w:r>
        <w:rPr>
          <w:lang w:val="nl-NL"/>
        </w:rPr>
        <w:t>. De Viole de Gamba 8' is geheel van metaal, C- h</w:t>
      </w:r>
      <w:r>
        <w:rPr>
          <w:vertAlign w:val="superscript"/>
          <w:lang w:val="nl-NL"/>
        </w:rPr>
        <w:t>2</w:t>
      </w:r>
      <w:r>
        <w:rPr>
          <w:lang w:val="nl-NL"/>
        </w:rPr>
        <w:t xml:space="preserve"> hebben expressions. De Prestant 4' begint op c en is van C-H gecombineerd met de Bourdon 8'. Dit metalen register is van c-h</w:t>
      </w:r>
      <w:r>
        <w:rPr>
          <w:vertAlign w:val="superscript"/>
          <w:lang w:val="nl-NL"/>
        </w:rPr>
        <w:t>2</w:t>
      </w:r>
      <w:r>
        <w:rPr>
          <w:lang w:val="nl-NL"/>
        </w:rPr>
        <w:t xml:space="preserve"> voorzien van expressions. De Flute 4' is van metaal en van C-g</w:t>
      </w:r>
      <w:r>
        <w:rPr>
          <w:vertAlign w:val="superscript"/>
          <w:lang w:val="nl-NL"/>
        </w:rPr>
        <w:t>1</w:t>
      </w:r>
      <w:r>
        <w:rPr>
          <w:lang w:val="nl-NL"/>
        </w:rPr>
        <w:t xml:space="preserve"> voorzien van inwendige roeren, het vervolg is conisch open. De Basson Hautbois 8' heeft metalen stevels, koppen en bekers.</w:t>
      </w:r>
    </w:p>
    <w:p>
      <w:pPr>
        <w:pStyle w:val="T1"/>
        <w:jc w:val="start"/>
        <w:rPr/>
      </w:pPr>
      <w:r>
        <w:rPr>
          <w:lang w:val="nl-NL"/>
        </w:rPr>
        <w:t>De Bourdon 8' van het Pos is van C-dis van hout, gedekt; het vervolg is van metaal, gedekt. De Salicional 8' begint op C, is geheel van metaal en heeft expressions van C-g</w:t>
      </w:r>
      <w:r>
        <w:rPr>
          <w:vertAlign w:val="superscript"/>
          <w:lang w:val="nl-NL"/>
        </w:rPr>
        <w:t>2</w:t>
      </w:r>
      <w:r>
        <w:rPr>
          <w:lang w:val="nl-NL"/>
        </w:rPr>
        <w:t>. De zwevend gestemde Voix Célèste 8' begint op c, is geheel van metaal en heeft expressions tot en met a</w:t>
      </w:r>
      <w:r>
        <w:rPr>
          <w:vertAlign w:val="superscript"/>
          <w:lang w:val="nl-NL"/>
        </w:rPr>
        <w:t>2</w:t>
      </w:r>
      <w:r>
        <w:rPr>
          <w:lang w:val="nl-NL"/>
        </w:rPr>
        <w:t>. Alle strijkende registers zijn vrijwel geheel uitgevoerd met freins.</w:t>
      </w:r>
    </w:p>
    <w:p>
      <w:pPr>
        <w:pStyle w:val="T1"/>
        <w:jc w:val="start"/>
        <w:rPr>
          <w:lang w:val="nl-NL"/>
        </w:rPr>
      </w:pPr>
      <w:r>
        <w:rPr>
          <w:lang w:val="nl-NL"/>
        </w:rPr>
        <w:t>De houten pijpen van de Bourdon 16' zijn op een lade op de stemplank geplaatst. Ze zijn grijs geschilderd en voorzien van een houten reguleerschroef in de voet om de windtoevoer te regelen.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2008-05-05T13:19:00Z</dcterms:created>
  <dc:creator>WS1</dc:creator>
  <dc:description/>
  <dc:language>en-US</dc:language>
  <cp:lastModifiedBy>NIvO</cp:lastModifiedBy>
  <cp:lastPrinted>2006-11-21T15:28:00Z</cp:lastPrinted>
  <dcterms:modified xsi:type="dcterms:W3CDTF">2008-05-05T13:19:00Z</dcterms:modified>
  <cp:revision>2</cp:revision>
  <dc:subject/>
  <dc:title>Sweykhuizen / 1883</dc:title>
</cp:coreProperties>
</file>