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Heerewaarden / 1897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1849-1850 met driezijdige koorsluiting en ingezwenkte topgevel ter vervanging van een voorganger uit 1608. Geveltoren met ingesnoerde naaldspits. Preekstoel uit 1738.</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orgel dat in visueel opzicht familie is van het Van Druten-orgel in Chaam uit 1896. </w:t>
      </w:r>
      <w:r>
        <w:rPr/>
        <w:t xml:space="preserve">De bron is ook dezelfde: het betreft hier een rococomodel uit de Musterprospekte van Laukhuff, echter zónder gedeelde tussenvelden en mét verhoogde pijpstokken. De kracht van rococo is de buigzaamheid van het totaalbeeld en de rijkdom van versiering. Versieringen zijn soms zelf belangrijker dan wat versierd wordt. </w:t>
      </w:r>
      <w:r>
        <w:rPr>
          <w:lang w:val="nl-NL"/>
        </w:rPr>
        <w:t>Zo zien we hier bij het lijstwerk weliswaar zuilen, maar het draait om de consoles en de kapitelen eronder en erboven. Evenzo is de bovenlijst geprofileerd, maar zijn het krulwerk en de bladeren eromheen datgene wat werkelijk de aandacht trekt. De donkerrode kleur van dit front doet wat zwaar aan, maar door het vele verguldsel is het zwierige rococokarakter niet verloren gegaan. Wie scherp vergelijkt ziet nog een kleine variatie: het engeltje op de middentoren speelt ditmaal luit.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15/16 (1900), 119.</w:t>
      </w:r>
    </w:p>
    <w:p>
      <w:pPr>
        <w:pStyle w:val="T3Lit"/>
        <w:jc w:val="start"/>
        <w:rPr>
          <w:lang w:val="nl-NL"/>
        </w:rPr>
      </w:pPr>
      <w:r>
        <w:rPr>
          <w:lang w:val="nl-NL"/>
        </w:rPr>
      </w:r>
    </w:p>
    <w:p>
      <w:pPr>
        <w:pStyle w:val="T3Lit"/>
        <w:jc w:val="start"/>
        <w:rPr>
          <w:lang w:val="nl-NL"/>
        </w:rPr>
      </w:pPr>
      <w:r>
        <w:rPr>
          <w:lang w:val="nl-NL"/>
        </w:rPr>
        <w:t>Orgelnummer 1853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E. Leichel &amp; Zn</w:t>
      </w:r>
    </w:p>
    <w:p>
      <w:pPr>
        <w:pStyle w:val="T1"/>
        <w:jc w:val="start"/>
        <w:rPr>
          <w:lang w:val="nl-NL"/>
        </w:rPr>
      </w:pPr>
      <w:r>
        <w:rPr>
          <w:lang w:val="nl-NL"/>
        </w:rPr>
        <w:t>2. Pels &amp; Van Leeuwen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2. 1977</w:t>
      </w:r>
    </w:p>
    <w:p>
      <w:pPr>
        <w:pStyle w:val="T1"/>
        <w:jc w:val="start"/>
        <w:rPr>
          <w:lang w:val="nl-NL"/>
        </w:rPr>
      </w:pPr>
      <w:r>
        <w:rPr>
          <w:lang w:val="nl-NL"/>
        </w:rPr>
      </w:r>
    </w:p>
    <w:p>
      <w:pPr>
        <w:pStyle w:val="T1"/>
        <w:jc w:val="start"/>
        <w:rPr>
          <w:lang w:val="nl-NL"/>
        </w:rPr>
      </w:pPr>
      <w:r>
        <w:rPr>
          <w:lang w:val="nl-NL"/>
        </w:rPr>
        <w:t>Pels &amp; van Leeuwen 1977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mogelijk bij die gelegenheid:</w:t>
      </w:r>
    </w:p>
    <w:p>
      <w:pPr>
        <w:pStyle w:val="T1"/>
        <w:ind w:start="708" w:hanging="0"/>
        <w:jc w:val="start"/>
        <w:rPr>
          <w:lang w:val="nl-NL"/>
        </w:rPr>
      </w:pPr>
      <w:r>
        <w:rPr>
          <w:lang w:val="nl-NL"/>
        </w:rPr>
        <w:t>tremulant aangebracht</w:t>
      </w:r>
    </w:p>
    <w:p>
      <w:pPr>
        <w:pStyle w:val="T1"/>
        <w:ind w:start="708" w:hanging="0"/>
        <w:jc w:val="start"/>
        <w:rPr>
          <w:lang w:val="nl-NL"/>
        </w:rPr>
      </w:pPr>
      <w:r>
        <w:rPr>
          <w:lang w:val="nl-NL"/>
        </w:rPr>
        <w:t>HW - Viola di Gamba 8', + Mixtuur; C-h Bourdon 16' verwijderd en op Ped geplaatst</w:t>
      </w:r>
    </w:p>
    <w:p>
      <w:pPr>
        <w:pStyle w:val="T1"/>
        <w:ind w:start="708" w:hanging="0"/>
        <w:jc w:val="start"/>
        <w:rPr>
          <w:lang w:val="nl-NL"/>
        </w:rPr>
      </w:pPr>
      <w:r>
        <w:rPr>
          <w:lang w:val="nl-NL"/>
        </w:rPr>
        <w:t>BW + Quint 2 2/3'</w:t>
      </w:r>
    </w:p>
    <w:p>
      <w:pPr>
        <w:pStyle w:val="T1"/>
        <w:ind w:start="708" w:hanging="0"/>
        <w:jc w:val="start"/>
        <w:rPr>
          <w:lang w:val="nl-NL"/>
        </w:rPr>
      </w:pPr>
      <w:r>
        <w:rPr>
          <w:lang w:val="nl-NL"/>
        </w:rPr>
        <w:t>Ped + Bourdon 16' (van HW)</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dak orgelkas gerepareerd; tremulant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499" w:type="dxa"/>
        <w:jc w:val="start"/>
        <w:tblInd w:w="-70" w:type="dxa"/>
        <w:tblLayout w:type="fixed"/>
        <w:tblCellMar>
          <w:top w:w="0" w:type="dxa"/>
          <w:start w:w="70" w:type="dxa"/>
          <w:bottom w:w="0" w:type="dxa"/>
          <w:end w:w="70" w:type="dxa"/>
        </w:tblCellMar>
      </w:tblPr>
      <w:tblGrid>
        <w:gridCol w:w="1600"/>
        <w:gridCol w:w="785"/>
        <w:gridCol w:w="1881"/>
        <w:gridCol w:w="718"/>
        <w:gridCol w:w="1023"/>
        <w:gridCol w:w="492"/>
      </w:tblGrid>
      <w:tr>
        <w:trPr/>
        <w:tc>
          <w:tcPr>
            <w:tcW w:w="1600" w:type="dxa"/>
            <w:tcBorders/>
          </w:tcPr>
          <w:p>
            <w:pPr>
              <w:pStyle w:val="T4dispositie"/>
              <w:rPr>
                <w:i/>
                <w:i/>
                <w:iCs/>
              </w:rPr>
            </w:pPr>
            <w:r>
              <w:rPr>
                <w:i/>
                <w:iCs/>
              </w:rPr>
              <w:t>Hoofdwerk (I)</w:t>
            </w:r>
          </w:p>
          <w:p>
            <w:pPr>
              <w:pStyle w:val="T4dispositie"/>
              <w:rPr/>
            </w:pPr>
            <w:r>
              <w:rPr/>
              <w:t>9 stemmen</w:t>
            </w:r>
          </w:p>
          <w:p>
            <w:pPr>
              <w:pStyle w:val="T4dispositie"/>
              <w:rPr/>
            </w:pPr>
            <w: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Hohlpÿp</w:t>
            </w:r>
          </w:p>
          <w:p>
            <w:pPr>
              <w:pStyle w:val="T4dispositie"/>
              <w:rPr>
                <w:lang w:val="fr-FR"/>
              </w:rPr>
            </w:pPr>
            <w:r>
              <w:rPr>
                <w:lang w:val="fr-FR"/>
              </w:rPr>
              <w:t>Octaaf</w:t>
            </w:r>
          </w:p>
          <w:p>
            <w:pPr>
              <w:pStyle w:val="T4dispositie"/>
              <w:rPr>
                <w:lang w:val="fr-FR"/>
              </w:rPr>
            </w:pPr>
            <w:r>
              <w:rPr>
                <w:lang w:val="fr-FR"/>
              </w:rPr>
              <w:t>Flute</w:t>
            </w:r>
          </w:p>
          <w:p>
            <w:pPr>
              <w:pStyle w:val="T4dispositie"/>
              <w:rPr>
                <w:lang w:val="fr-FR"/>
              </w:rPr>
            </w:pPr>
            <w:r>
              <w:rPr>
                <w:lang w:val="fr-FR"/>
              </w:rPr>
              <w:t>Quint</w:t>
            </w:r>
          </w:p>
          <w:p>
            <w:pPr>
              <w:pStyle w:val="T4dispositie"/>
              <w:rPr>
                <w:lang w:val="fr-FR"/>
              </w:rPr>
            </w:pPr>
            <w:r>
              <w:rPr>
                <w:lang w:val="fr-FR"/>
              </w:rPr>
              <w:t>Octaaf</w:t>
            </w:r>
          </w:p>
          <w:p>
            <w:pPr>
              <w:pStyle w:val="T4dispositie"/>
              <w:rPr>
                <w:lang w:val="fr-FR"/>
              </w:rPr>
            </w:pPr>
            <w:r>
              <w:rPr>
                <w:lang w:val="fr-FR"/>
              </w:rPr>
              <w:t>Mixtuur</w:t>
            </w:r>
          </w:p>
          <w:p>
            <w:pPr>
              <w:pStyle w:val="T4dispositie"/>
              <w:rPr>
                <w:lang w:val="fr-FR"/>
              </w:rPr>
            </w:pPr>
            <w:r>
              <w:rPr>
                <w:lang w:val="fr-FR"/>
              </w:rPr>
              <w:t>Trompette</w:t>
            </w:r>
          </w:p>
        </w:tc>
        <w:tc>
          <w:tcPr>
            <w:tcW w:w="785"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16'</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pPr>
            <w:r>
              <w:rPr/>
              <w:t>4'</w:t>
            </w:r>
          </w:p>
          <w:p>
            <w:pPr>
              <w:pStyle w:val="T4dispositie"/>
              <w:rPr/>
            </w:pPr>
            <w:r>
              <w:rPr/>
              <w:t>2 2/3'</w:t>
            </w:r>
          </w:p>
          <w:p>
            <w:pPr>
              <w:pStyle w:val="T4dispositie"/>
              <w:rPr/>
            </w:pPr>
            <w:r>
              <w:rPr/>
              <w:t>2'</w:t>
            </w:r>
          </w:p>
          <w:p>
            <w:pPr>
              <w:pStyle w:val="T4dispositie"/>
              <w:rPr/>
            </w:pPr>
            <w:r>
              <w:rPr/>
              <w:t>[4 st.]</w:t>
            </w:r>
          </w:p>
          <w:p>
            <w:pPr>
              <w:pStyle w:val="T4dispositie"/>
              <w:rPr/>
            </w:pPr>
            <w:r>
              <w:rPr/>
              <w:t>8'</w:t>
            </w:r>
          </w:p>
        </w:tc>
        <w:tc>
          <w:tcPr>
            <w:tcW w:w="1881" w:type="dxa"/>
            <w:tcBorders/>
          </w:tcPr>
          <w:p>
            <w:pPr>
              <w:pStyle w:val="T4dispositie"/>
              <w:rPr>
                <w:i/>
                <w:i/>
                <w:iCs/>
              </w:rPr>
            </w:pPr>
            <w:r>
              <w:rPr>
                <w:i/>
                <w:iCs/>
              </w:rPr>
              <w:t>Dwarswerk (II)</w:t>
            </w:r>
          </w:p>
          <w:p>
            <w:pPr>
              <w:pStyle w:val="T4dispositie"/>
              <w:rPr/>
            </w:pPr>
            <w:r>
              <w:rPr/>
              <w:t>6 stemmen</w:t>
            </w:r>
          </w:p>
          <w:p>
            <w:pPr>
              <w:pStyle w:val="T4dispositie"/>
              <w:rPr/>
            </w:pPr>
            <w:r>
              <w:rPr/>
            </w:r>
          </w:p>
          <w:p>
            <w:pPr>
              <w:pStyle w:val="T4dispositie"/>
              <w:rPr/>
            </w:pPr>
            <w:r>
              <w:rPr/>
              <w:t>Lieflÿk gedackt</w:t>
            </w:r>
          </w:p>
          <w:p>
            <w:pPr>
              <w:pStyle w:val="T4dispositie"/>
              <w:rPr/>
            </w:pPr>
            <w:r>
              <w:rPr/>
              <w:t>Salicionaal</w:t>
            </w:r>
          </w:p>
          <w:p>
            <w:pPr>
              <w:pStyle w:val="T4dispositie"/>
              <w:rPr/>
            </w:pPr>
            <w:r>
              <w:rPr/>
              <w:t>Octaaf</w:t>
            </w:r>
          </w:p>
          <w:p>
            <w:pPr>
              <w:pStyle w:val="T4dispositie"/>
              <w:rPr>
                <w:lang w:val="fr-FR"/>
              </w:rPr>
            </w:pPr>
            <w:r>
              <w:rPr>
                <w:lang w:val="fr-FR"/>
              </w:rPr>
              <w:t>Flute à Travers</w:t>
            </w:r>
          </w:p>
          <w:p>
            <w:pPr>
              <w:pStyle w:val="T4dispositie"/>
              <w:rPr>
                <w:lang w:val="fr-FR"/>
              </w:rPr>
            </w:pPr>
            <w:r>
              <w:rPr>
                <w:lang w:val="fr-FR"/>
              </w:rPr>
              <w:t>Quint</w:t>
            </w:r>
          </w:p>
          <w:p>
            <w:pPr>
              <w:pStyle w:val="T4dispositie"/>
              <w:rPr>
                <w:lang w:val="fr-FR"/>
              </w:rPr>
            </w:pPr>
            <w:r>
              <w:rPr>
                <w:lang w:val="fr-FR"/>
              </w:rPr>
              <w:t>Gemshoorn</w:t>
            </w:r>
          </w:p>
        </w:tc>
        <w:tc>
          <w:tcPr>
            <w:tcW w:w="718"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102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fr-FR"/>
              </w:rPr>
            </w:pPr>
            <w:r>
              <w:rPr>
                <w:lang w:val="fr-FR"/>
              </w:rPr>
              <w:t>Subbass</w:t>
            </w:r>
          </w:p>
        </w:tc>
        <w:tc>
          <w:tcPr>
            <w:tcW w:w="492"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16'</w:t>
            </w:r>
          </w:p>
        </w:tc>
      </w:tr>
    </w:tbl>
    <w:p>
      <w:pPr>
        <w:pStyle w:val="T4dispositie"/>
        <w:rPr/>
      </w:pPr>
      <w:r>
        <w:rPr/>
      </w:r>
    </w:p>
    <w:p>
      <w:pPr>
        <w:pStyle w:val="T4dispositie"/>
        <w:rPr/>
      </w:pPr>
      <w:r>
        <w:rPr/>
        <w:t>* alleen D</w:t>
      </w:r>
    </w:p>
    <w:p>
      <w:pPr>
        <w:pStyle w:val="T1"/>
        <w:jc w:val="start"/>
        <w:rPr>
          <w:lang w:val="fr-FR"/>
        </w:rPr>
      </w:pPr>
      <w:r>
        <w:rPr>
          <w:lang w:val="fr-FR"/>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loze knop met opschrift Violoncelle 8' (Ped)</w:t>
      </w:r>
    </w:p>
    <w:p>
      <w:pPr>
        <w:pStyle w:val="T1"/>
        <w:jc w:val="start"/>
        <w:rPr>
          <w:lang w:val="nl-NL"/>
        </w:rPr>
      </w:pPr>
      <w:r>
        <w:rPr>
          <w:lang w:val="nl-NL"/>
        </w:rPr>
      </w:r>
    </w:p>
    <w:p>
      <w:pPr>
        <w:pStyle w:val="T1"/>
        <w:jc w:val="start"/>
        <w:rPr/>
      </w:pPr>
      <w:r>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fr-FR"/>
              </w:rPr>
            </w:pPr>
            <w:r>
              <w:rPr>
                <w:lang w:val="fr-FR"/>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cis</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cis</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cis</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h</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(1897)</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w:t>
      </w:r>
    </w:p>
    <w:p>
      <w:pPr>
        <w:pStyle w:val="T1"/>
        <w:jc w:val="start"/>
        <w:rPr>
          <w:lang w:val="nl-NL"/>
        </w:rPr>
      </w:pPr>
      <w:r>
        <w:rPr>
          <w:lang w:val="nl-NL"/>
        </w:rPr>
        <w:t>De registertrekkers zijn rond; de registerplaatjes zijn op de knoppen aangebracht. De registertrekkers van het HW bevinden zich in een horizontale rij boven de lessenaarbak; die van het DW in een verticale rij rechts en die van het Ped in een verticale rij links naast de lessenaarbak. Op het klavierplankje is een naamplaatje van de firma E. Leichel &amp; Zn aanwezig. De handklavieren zijn origineel maar het beleg van de ondertoetsen niet. Ook enkele registerplaatjes zijn niet meer origineel. Het pedaalklavier is nog oud.</w:t>
      </w:r>
    </w:p>
    <w:p>
      <w:pPr>
        <w:pStyle w:val="T1"/>
        <w:jc w:val="start"/>
        <w:rPr>
          <w:lang w:val="nl-NL"/>
        </w:rPr>
      </w:pPr>
      <w:r>
        <w:rPr>
          <w:lang w:val="nl-NL"/>
        </w:rPr>
        <w:t>De lade van het HW is ingedeeld in hele tonen met de grootste pijpen in het midden en de overige van buiten naar binnen aflopend. Mogelijk is de indeling van de lade gewijzigd om de Viola di Gamba te kunnen vervangen door de thans aanwezige Mixtuur. De lade van het DW is chromatisch en is haaks op het front aan de klaviatuurzijde geplaatst. De lade van het Ped is ingericht voor één stem (zonder sleep) en rechts tegen de zijwand van de kas geplaatst.</w:t>
      </w:r>
    </w:p>
    <w:p>
      <w:pPr>
        <w:pStyle w:val="T1"/>
        <w:jc w:val="start"/>
        <w:rPr/>
      </w:pPr>
      <w:r>
        <w:rPr>
          <w:lang w:val="nl-NL"/>
        </w:rPr>
        <w:t>Het metalen labiaalpijpwerk is grotendeels voorzien van expressions. C-E van de Prestant 8' (HW) zijn metalen binnenpijpen; F-c</w:t>
      </w:r>
      <w:r>
        <w:rPr>
          <w:vertAlign w:val="superscript"/>
          <w:lang w:val="nl-NL"/>
        </w:rPr>
        <w:t>1</w:t>
      </w:r>
      <w:r>
        <w:rPr>
          <w:lang w:val="nl-NL"/>
        </w:rPr>
        <w:t xml:space="preserve"> staan in het front (torens) het vervolg staat op de lade. De tussenvelden van het front zijn niet sprekend. De Bourdon 16' spreekt vanaf c</w:t>
      </w:r>
      <w:r>
        <w:rPr>
          <w:vertAlign w:val="superscript"/>
          <w:lang w:val="nl-NL"/>
        </w:rPr>
        <w:t>1</w:t>
      </w:r>
      <w:r>
        <w:rPr>
          <w:lang w:val="nl-NL"/>
        </w:rPr>
        <w:t>; de oorspronkelijke houten pijpen voor C-h doen thans dienst in de Subbass 16' van het Ped. C-H van de Hohlpÿp 8' zijn van naaldhout, het vervolg is van metaal. De Flute 4' is van C-f</w:t>
      </w:r>
      <w:r>
        <w:rPr>
          <w:vertAlign w:val="superscript"/>
          <w:lang w:val="nl-NL"/>
        </w:rPr>
        <w:t>2</w:t>
      </w:r>
      <w:r>
        <w:rPr>
          <w:lang w:val="nl-NL"/>
        </w:rPr>
        <w:t xml:space="preserve"> gedekt en verder open, conisch. De Octaaf 2' repeteert op fis</w:t>
      </w:r>
      <w:r>
        <w:rPr>
          <w:vertAlign w:val="superscript"/>
          <w:lang w:val="nl-NL"/>
        </w:rPr>
        <w:t>2</w:t>
      </w:r>
      <w:r>
        <w:rPr>
          <w:lang w:val="nl-NL"/>
        </w:rPr>
        <w:t xml:space="preserve"> naar 4'. Het pijpwerk van de Mixtuur is van ouder materiaal dat uit omstreeks 1900 dateert. De Trompette 8' heeft in het hoogste octaaf bekers met dubbele lengte.</w:t>
      </w:r>
    </w:p>
    <w:p>
      <w:pPr>
        <w:pStyle w:val="T1"/>
        <w:jc w:val="start"/>
        <w:rPr>
          <w:lang w:val="nl-NL"/>
        </w:rPr>
      </w:pPr>
      <w:r>
        <w:rPr>
          <w:lang w:val="nl-NL"/>
        </w:rPr>
        <w:t>C-H van de Lieflÿk gedackt zijn van naaldhout en van de lade afgevoerd; het vervolg is van metaal. De Salicionaal 8' is van C-H gecombineerd met de Lieflÿk gedackt. C-h van de Flute à Travers zijn van naaldhout (open) met metalen stemdeksels, het vervolg is van metaal, open, conisch. De Gemshoorn 2' is open, conisch.</w:t>
      </w:r>
    </w:p>
    <w:p>
      <w:pPr>
        <w:pStyle w:val="T1"/>
        <w:jc w:val="start"/>
        <w:rPr>
          <w:lang w:val="nl-NL"/>
        </w:rPr>
      </w:pPr>
      <w:r>
        <w:rPr>
          <w:lang w:val="nl-NL"/>
        </w:rPr>
        <w:t>C-h van de Subbass 16' zijn van naaldhout en afkomstig van het HW; de overige pijpen zijn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2008-05-05T13:21:00Z</dcterms:created>
  <dc:creator>WS1</dc:creator>
  <dc:description/>
  <dc:language>en-US</dc:language>
  <cp:lastModifiedBy>NIvO</cp:lastModifiedBy>
  <dcterms:modified xsi:type="dcterms:W3CDTF">2008-05-13T09:55:00Z</dcterms:modified>
  <cp:revision>3</cp:revision>
  <dc:subject/>
  <dc:title>Heumen / ca 1860</dc:title>
</cp:coreProperties>
</file>