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Hem / 1897</w:t>
      </w:r>
    </w:p>
    <w:p>
      <w:pPr>
        <w:pStyle w:val="Heading2"/>
        <w:rPr>
          <w:i w:val="false"/>
          <w:i w:val="false"/>
          <w:iCs/>
        </w:rPr>
      </w:pPr>
      <w:r>
        <w:rPr>
          <w:i w:val="false"/>
          <w:iCs/>
        </w:rPr>
        <w:t>R.K. Kerk H. Theresia van Lisieux</w:t>
      </w:r>
    </w:p>
    <w:p>
      <w:pPr>
        <w:pStyle w:val="T1"/>
        <w:jc w:val="start"/>
        <w:rPr>
          <w:i/>
          <w:i/>
          <w:iCs/>
        </w:rPr>
      </w:pPr>
      <w:r>
        <w:rPr>
          <w:i/>
          <w:iCs/>
        </w:rPr>
      </w:r>
    </w:p>
    <w:p>
      <w:pPr>
        <w:pStyle w:val="T1"/>
        <w:jc w:val="start"/>
        <w:rPr/>
      </w:pPr>
      <w:r>
        <w:rPr>
          <w:i/>
          <w:iCs/>
          <w:lang w:val="nl-NL"/>
        </w:rPr>
        <w:t xml:space="preserve">Eenvoudige kleine zaalkerk uit 1930 naar ontwerp van J. Duynstee met lage zijmuren en een hoog zadeldak. </w:t>
      </w:r>
      <w:r>
        <w:rPr>
          <w:i/>
          <w:iCs/>
        </w:rPr>
        <w:t>Als rudimentaire klokkentoren geldt een opengewerkte verlenging van de top van de 'westgevel' waarin een luidklokje is opgenomen.</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 xml:space="preserve">Ook de firma Ypma is in de laatste jaren van de 19e eeuw overgestapt op het ‘standaardfront’ voor kleine orgels in die tijd: het driedelige blokvormige model, gebaseerd op een van Laukhuffs </w:t>
      </w:r>
      <w:r>
        <w:rPr>
          <w:i/>
          <w:iCs/>
          <w:lang w:val="nl-NL"/>
        </w:rPr>
        <w:t>Musterprospekte</w:t>
      </w:r>
      <w:r>
        <w:rPr>
          <w:lang w:val="nl-NL"/>
        </w:rPr>
        <w:t xml:space="preserve"> en door gerenommeerde bedrijven als de firma J. Bätz &amp; Co en Maarschalkerweerd &amp; Zn regelmatig toegepast.</w:t>
      </w:r>
    </w:p>
    <w:p>
      <w:pPr>
        <w:pStyle w:val="T2Kunst"/>
        <w:jc w:val="start"/>
        <w:rPr>
          <w:lang w:val="nl-NL"/>
        </w:rPr>
      </w:pPr>
      <w:r>
        <w:rPr>
          <w:lang w:val="nl-NL"/>
        </w:rPr>
        <w:t>In Hem zijn de zijvelden voorzien van spitsbogen, en bekroond met een spitsboogfries met aan de bovenzijde een tootlijst en op de hoeken pinakels zonder hogels. Het middenveld is gedecoreerd met een tootboog, en bekroond door een wimberg met daarbovenop een kruisbloem.</w:t>
      </w:r>
    </w:p>
    <w:p>
      <w:pPr>
        <w:pStyle w:val="T2Kuns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Ypma &amp; Co</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pedaalklavier verwijderd en opgeslagen achter het orgel</w:t>
      </w:r>
    </w:p>
    <w:p>
      <w:pPr>
        <w:pStyle w:val="T1"/>
        <w:numPr>
          <w:ilvl w:val="0"/>
          <w:numId w:val="2"/>
        </w:numPr>
        <w:jc w:val="start"/>
        <w:rPr>
          <w:lang w:val="nl-NL"/>
        </w:rPr>
      </w:pPr>
      <w:r>
        <w:rPr>
          <w:lang w:val="nl-NL"/>
        </w:rPr>
        <w:t>Voix Celeste 8' geplaatst; Gamba 8' $ 4'; 4' $ 2'</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 B/D</w:t>
            </w:r>
          </w:p>
          <w:p>
            <w:pPr>
              <w:pStyle w:val="T4dispositie"/>
              <w:rPr>
                <w:lang w:val="nl-NL"/>
              </w:rPr>
            </w:pPr>
            <w:r>
              <w:rPr>
                <w:lang w:val="nl-NL"/>
              </w:rPr>
              <w:t>Fernfluit</w:t>
            </w:r>
          </w:p>
          <w:p>
            <w:pPr>
              <w:pStyle w:val="T4dispositie"/>
              <w:rPr>
                <w:lang w:val="nl-NL"/>
              </w:rPr>
            </w:pPr>
            <w:r>
              <w:rPr>
                <w:lang w:val="nl-NL"/>
              </w:rPr>
              <w:t>Gamba</w:t>
            </w:r>
          </w:p>
          <w:p>
            <w:pPr>
              <w:pStyle w:val="T4dispositie"/>
              <w:rPr>
                <w:lang w:val="nl-NL"/>
              </w:rPr>
            </w:pPr>
            <w:r>
              <w:rPr>
                <w:lang w:val="nl-NL"/>
              </w:rPr>
              <w:t>Vox Celeste</w:t>
            </w:r>
          </w:p>
          <w:p>
            <w:pPr>
              <w:pStyle w:val="T4dispositie"/>
              <w:rPr>
                <w:lang w:val="nl-NL"/>
              </w:rPr>
            </w:pPr>
            <w:r>
              <w:rPr>
                <w:lang w:val="nl-NL"/>
              </w:rPr>
              <w: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rFonts w:ascii="Times New Roman" w:hAnsi="Times New Roman" w:cs="Times New Roman"/>
          <w:szCs w:val="24"/>
        </w:rPr>
      </w:pPr>
      <w:r>
        <w:rPr>
          <w:rFonts w:cs="Times New Roman" w:ascii="Times New Roman" w:hAnsi="Times New Roman"/>
          <w:szCs w:val="24"/>
        </w:rPr>
        <w:t>niet meetbaar</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niet vast te stellen (waarschijnlijk 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vertAlign w:val="superscript"/>
        </w:rPr>
      </w:pPr>
      <w:r>
        <w:rPr>
          <w:rFonts w:cs="Times New Roman" w:ascii="Times New Roman" w:hAnsi="Times New Roman"/>
          <w:szCs w:val="24"/>
        </w:rPr>
        <w:t>C-H</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in- en uitspringende vouw (1897)</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niet meetbaar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Het instrument is al geruime tijd buiten gebruik. De windvoorziening is afgekoppeld. Het oorspronkelijke orgelbankje is nog aanwezig.</w:t>
      </w:r>
    </w:p>
    <w:p>
      <w:pPr>
        <w:pStyle w:val="T1"/>
        <w:jc w:val="start"/>
        <w:rPr>
          <w:lang w:val="nl-NL"/>
        </w:rPr>
      </w:pPr>
      <w:r>
        <w:rPr>
          <w:lang w:val="nl-NL"/>
        </w:rPr>
        <w:t>Fis-h van de Prestant 8' staan in het front, het vervolg staat op de lade; C-F zijn waarschijnlijk gecombineerd met de Holpijp 8'. De oorspronkelijke Viola 8' is opgeschoven tot 4'. De Holpijp 8' is geheel van metaal. De Vox Celeste dateert van later datum. Het oorspronkelijke vier-voets register is op enig moment ingekort tot 2'. Het pijpwerk van de Prestant 8', de Holpijp 8' en de Fernfluit 8' lijkt nog geheel origineel.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2008-05-05T13:21:00Z</dcterms:created>
  <dc:creator>WS1</dc:creator>
  <dc:description/>
  <dc:language>en-US</dc:language>
  <cp:lastModifiedBy>NIvO</cp:lastModifiedBy>
  <dcterms:modified xsi:type="dcterms:W3CDTF">2008-05-05T13:21:00Z</dcterms:modified>
  <cp:revision>2</cp:revision>
  <dc:subject/>
  <dc:title>Olst / 1880</dc:title>
</cp:coreProperties>
</file>