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Kortenhoef / 1897</w:t>
      </w:r>
    </w:p>
    <w:p>
      <w:pPr>
        <w:pStyle w:val="Heading2"/>
        <w:rPr>
          <w:i w:val="false"/>
          <w:i w:val="false"/>
          <w:iCs/>
        </w:rPr>
      </w:pPr>
      <w:r>
        <w:rPr>
          <w:i w:val="false"/>
          <w:iCs/>
        </w:rPr>
        <w:t>R.K. Kerk H. Antonius van Padua</w:t>
      </w:r>
    </w:p>
    <w:p>
      <w:pPr>
        <w:pStyle w:val="T1"/>
        <w:jc w:val="start"/>
        <w:rPr>
          <w:i/>
          <w:i/>
          <w:iCs/>
          <w:lang w:val="nl-NL"/>
        </w:rPr>
      </w:pPr>
      <w:r>
        <w:rPr>
          <w:i/>
          <w:iCs/>
          <w:lang w:val="nl-NL"/>
        </w:rPr>
      </w:r>
    </w:p>
    <w:p>
      <w:pPr>
        <w:pStyle w:val="T1"/>
        <w:jc w:val="start"/>
        <w:rPr>
          <w:i/>
          <w:i/>
          <w:iCs/>
          <w:lang w:val="nl-NL"/>
        </w:rPr>
      </w:pPr>
      <w:r>
        <w:rPr>
          <w:i/>
          <w:iCs/>
          <w:lang w:val="nl-NL"/>
        </w:rPr>
        <w:t>Driebeukige hallenkerk met driezijdig gesloten koor, gebouwd in 1879-1880 naar ontwerp van A. Tepe. Toren van drie geledingen met ingesnoerde spits. Neogotisch hoofdaltaar van G. Brom uit 1883 en kruiswegstaties uit 1893. Inrichting naar St-Bernulphusgilde.</w:t>
      </w:r>
    </w:p>
    <w:p>
      <w:pPr>
        <w:pStyle w:val="T1"/>
        <w:jc w:val="start"/>
        <w:rPr>
          <w:i/>
          <w:i/>
          <w:iCs/>
          <w:lang w:val="nl-NL"/>
        </w:rPr>
      </w:pPr>
      <w:r>
        <w:rPr>
          <w:i/>
          <w:iCs/>
          <w:lang w:val="nl-NL"/>
        </w:rPr>
      </w:r>
    </w:p>
    <w:p>
      <w:pPr>
        <w:pStyle w:val="T1"/>
        <w:jc w:val="start"/>
        <w:rPr>
          <w:lang w:val="nl-NL"/>
        </w:rPr>
      </w:pPr>
      <w:r>
        <w:rPr>
          <w:lang w:val="nl-NL"/>
        </w:rPr>
        <w:t>Kas: 1897/1994</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Dit orgel bestond oorspronkelijk uit twee lossen delen, op een balustrade, met veel ruimte voor een kooropstelling, zoals in die tijd meer en meer in zwang kwam bij katholieke kerken. In 1994 werden de twee delen samengevoegd tot een enkel front. Het orgel staat nu op de vloer van de kerk en past ondanks alles wel enigszins in de traditie van Maarschalkerweerd. Deze ontwierp wel vaker instrumenten met een vijfdelige opbouw. De tussenvelden van het orgel vertonen bijvoorbeeld overeenkomst met Nederhorst den Berg (1896). Daar staat rechts op de balustrade van het transept een vergelijkbaar orgel dat echter niet tweedelig is, maar enkel. Ook de hoektorens zijn qua vorm gelijk aan die in Nederhorst den Berg, met eenzelfde tootlijst eronder en pinakels er bovenop. </w:t>
      </w:r>
      <w:r>
        <w:rPr/>
        <w:t xml:space="preserve">Het houtsnijwerk van dit instrument is bijzonder rijk, met name bij de hoektorens. Om de ronde vorm van de torens is een tootboog gedrapeerd, met traceerwerk daarboven ter blindering van de pijpuiteinden. Op de torens vervolgens een samenstel van pinakels, gotische vierpassen, leliën en toten. Langs het middendeel zien we een ranke versieringslijst die eveneens bestaat uit de onderkant van vierpassen, met leliën daar waar een nieuwe halve vierpas begint. </w:t>
      </w:r>
      <w:r>
        <w:rPr>
          <w:lang w:val="nl-NL"/>
        </w:rPr>
        <w:t>De vierkante blokvormige kanteellijstjes, die er iets bovenuit steken, doen wat plomp aan.</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i/>
          <w:lang w:val="nl-NL"/>
        </w:rPr>
        <w:t>Maarschalkerweerd-orgel H. Antonius van Padua Kortenhoef, gebouwd 1897, gerestaureerd 1994</w:t>
      </w:r>
      <w:r>
        <w:rPr>
          <w:lang w:val="nl-NL"/>
        </w:rPr>
        <w:t>. Z.p., z.j. [1994].</w:t>
      </w:r>
    </w:p>
    <w:p>
      <w:pPr>
        <w:pStyle w:val="T3Lit"/>
        <w:jc w:val="start"/>
        <w:rPr/>
      </w:pPr>
      <w:r>
        <w:rPr>
          <w:i/>
          <w:iCs/>
          <w:lang w:val="nl-NL"/>
        </w:rPr>
        <w:t>Het Orgel</w:t>
      </w:r>
      <w:r>
        <w:rPr>
          <w:lang w:val="nl-NL"/>
        </w:rPr>
        <w:t>, 90/11 (1994), 410-411.</w:t>
      </w:r>
    </w:p>
    <w:p>
      <w:pPr>
        <w:pStyle w:val="T3Lit"/>
        <w:jc w:val="start"/>
        <w:rPr/>
      </w:pPr>
      <w:r>
        <w:rPr>
          <w:lang w:val="nl-NL"/>
        </w:rPr>
        <w:t xml:space="preserve">Gerco Schaap, ‘Orgelrestauraties door Elbertse in Kortenhoef en Vianen’. </w:t>
      </w:r>
      <w:r>
        <w:rPr>
          <w:i/>
          <w:iCs/>
          <w:lang w:val="nl-NL"/>
        </w:rPr>
        <w:t>De Orgelvriend</w:t>
      </w:r>
      <w:r>
        <w:rPr>
          <w:lang w:val="nl-NL"/>
        </w:rPr>
        <w:t>, 37/1 (1995), 5-11.</w:t>
      </w:r>
    </w:p>
    <w:p>
      <w:pPr>
        <w:pStyle w:val="T3Lit"/>
        <w:jc w:val="start"/>
        <w:rPr>
          <w:lang w:val="nl-NL"/>
        </w:rPr>
      </w:pPr>
      <w:r>
        <w:rPr>
          <w:lang w:val="nl-NL"/>
        </w:rPr>
      </w:r>
    </w:p>
    <w:p>
      <w:pPr>
        <w:pStyle w:val="T3Lit"/>
        <w:jc w:val="start"/>
        <w:rPr>
          <w:lang w:val="nl-NL"/>
        </w:rPr>
      </w:pPr>
      <w:r>
        <w:rPr>
          <w:lang w:val="nl-NL"/>
        </w:rPr>
        <w:t>Monumentnummer 17394</w:t>
      </w:r>
    </w:p>
    <w:p>
      <w:pPr>
        <w:pStyle w:val="T3Lit"/>
        <w:jc w:val="start"/>
        <w:rPr>
          <w:lang w:val="nl-NL"/>
        </w:rPr>
      </w:pPr>
      <w:r>
        <w:rPr>
          <w:lang w:val="nl-NL"/>
        </w:rPr>
        <w:t>Orgelnummer 802</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Maarschalkerweerd &amp; Zn</w:t>
      </w:r>
    </w:p>
    <w:p>
      <w:pPr>
        <w:pStyle w:val="T1"/>
        <w:jc w:val="start"/>
        <w:rPr>
          <w:lang w:val="nl-NL"/>
        </w:rPr>
      </w:pPr>
      <w:r>
        <w:rPr>
          <w:lang w:val="nl-NL"/>
        </w:rPr>
        <w:t>2. J.J. Elbertse &amp; Zn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1. 1897</w:t>
      </w:r>
    </w:p>
    <w:p>
      <w:pPr>
        <w:pStyle w:val="T1"/>
        <w:jc w:val="start"/>
        <w:rPr>
          <w:lang w:val="nl-NL"/>
        </w:rPr>
      </w:pPr>
      <w:r>
        <w:rPr>
          <w:lang w:val="nl-NL"/>
        </w:rPr>
        <w:t>2. 1994</w:t>
      </w:r>
    </w:p>
    <w:p>
      <w:pPr>
        <w:pStyle w:val="T1"/>
        <w:jc w:val="start"/>
        <w:rPr>
          <w:lang w:val="nl-NL"/>
        </w:rPr>
      </w:pPr>
      <w:r>
        <w:rPr>
          <w:lang w:val="nl-NL"/>
        </w:rPr>
      </w:r>
    </w:p>
    <w:p>
      <w:pPr>
        <w:pStyle w:val="T1"/>
        <w:jc w:val="start"/>
        <w:rPr/>
      </w:pPr>
      <w:r>
        <w:rPr/>
        <w:t xml:space="preserve">Dispositie 1897 </w:t>
      </w:r>
    </w:p>
    <w:tbl>
      <w:tblPr>
        <w:tblW w:w="4063" w:type="dxa"/>
        <w:jc w:val="start"/>
        <w:tblInd w:w="-70" w:type="dxa"/>
        <w:tblLayout w:type="fixed"/>
        <w:tblCellMar>
          <w:top w:w="0" w:type="dxa"/>
          <w:start w:w="70" w:type="dxa"/>
          <w:bottom w:w="0" w:type="dxa"/>
          <w:end w:w="70" w:type="dxa"/>
        </w:tblCellMar>
      </w:tblPr>
      <w:tblGrid>
        <w:gridCol w:w="1330"/>
        <w:gridCol w:w="540"/>
        <w:gridCol w:w="1620"/>
        <w:gridCol w:w="573"/>
      </w:tblGrid>
      <w:tr>
        <w:trPr/>
        <w:tc>
          <w:tcPr>
            <w:tcW w:w="1330" w:type="dxa"/>
            <w:tcBorders/>
          </w:tcPr>
          <w:p>
            <w:pPr>
              <w:pStyle w:val="T4dispositie"/>
              <w:jc w:val="start"/>
              <w:rPr>
                <w:i/>
                <w:i/>
                <w:iCs/>
                <w:lang w:val="nl-NL"/>
              </w:rPr>
            </w:pPr>
            <w:r>
              <w:rPr>
                <w:i/>
                <w:iCs/>
                <w:lang w:val="nl-NL"/>
              </w:rPr>
              <w:t>Manuaal</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Octaaf</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tc>
        <w:tc>
          <w:tcPr>
            <w:tcW w:w="1620" w:type="dxa"/>
            <w:tcBorders/>
          </w:tcPr>
          <w:p>
            <w:pPr>
              <w:pStyle w:val="T4dispositie"/>
              <w:jc w:val="start"/>
              <w:rPr>
                <w:lang w:val="en-GB"/>
              </w:rPr>
            </w:pPr>
            <w:r>
              <w:rPr>
                <w:i/>
                <w:lang w:val="en-GB"/>
              </w:rPr>
              <w:t>Positief</w:t>
            </w:r>
          </w:p>
          <w:p>
            <w:pPr>
              <w:pStyle w:val="T4dispositie"/>
              <w:jc w:val="start"/>
              <w:rPr>
                <w:lang w:val="en-GB"/>
              </w:rPr>
            </w:pPr>
            <w:r>
              <w:rPr>
                <w:lang w:val="en-GB"/>
              </w:rPr>
              <w:t>Bourdon</w:t>
            </w:r>
          </w:p>
          <w:p>
            <w:pPr>
              <w:pStyle w:val="T4dispositie"/>
              <w:jc w:val="start"/>
              <w:rPr>
                <w:lang w:val="en-GB"/>
              </w:rPr>
            </w:pPr>
            <w:r>
              <w:rPr>
                <w:lang w:val="en-GB"/>
              </w:rPr>
              <w:t>Salicionaal</w:t>
            </w:r>
          </w:p>
          <w:p>
            <w:pPr>
              <w:pStyle w:val="T4dispositie"/>
              <w:jc w:val="start"/>
              <w:rPr>
                <w:lang w:val="en-GB"/>
              </w:rPr>
            </w:pPr>
            <w:r>
              <w:rPr>
                <w:lang w:val="en-GB"/>
              </w:rPr>
              <w:t>Gamba</w:t>
            </w:r>
          </w:p>
          <w:p>
            <w:pPr>
              <w:pStyle w:val="T4dispositie"/>
              <w:jc w:val="start"/>
              <w:rPr>
                <w:lang w:val="en-GB"/>
              </w:rPr>
            </w:pPr>
            <w:r>
              <w:rPr>
                <w:lang w:val="en-GB"/>
              </w:rPr>
              <w:t>Fluit Dolce</w:t>
            </w:r>
          </w:p>
        </w:tc>
        <w:tc>
          <w:tcPr>
            <w:tcW w:w="573" w:type="dxa"/>
            <w:tcBorders/>
          </w:tcPr>
          <w:p>
            <w:pPr>
              <w:pStyle w:val="T4dispositie"/>
              <w:snapToGrid w:val="false"/>
              <w:jc w:val="start"/>
              <w:rPr>
                <w:lang w:val="en-GB"/>
              </w:rPr>
            </w:pPr>
            <w:r>
              <w:rPr>
                <w:lang w:val="en-GB"/>
              </w:rPr>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4</w:t>
            </w:r>
            <w:r>
              <w:rPr>
                <w:lang w:val="fr-FR"/>
              </w:rPr>
              <w:t>'</w:t>
            </w:r>
          </w:p>
        </w:tc>
      </w:tr>
    </w:tbl>
    <w:p>
      <w:pPr>
        <w:pStyle w:val="T4dispositie"/>
        <w:rPr/>
      </w:pPr>
      <w:r>
        <w:rPr/>
      </w:r>
    </w:p>
    <w:p>
      <w:pPr>
        <w:pStyle w:val="T4dispositie"/>
        <w:rPr/>
      </w:pPr>
      <w:r>
        <w:rPr/>
        <w:t>koppelingen I-II, Ped-I, Ped-II</w:t>
      </w:r>
    </w:p>
    <w:p>
      <w:pPr>
        <w:pStyle w:val="T4dispositie"/>
        <w:rPr>
          <w:lang w:val="nl-NL"/>
        </w:rPr>
      </w:pPr>
      <w:r>
        <w:rPr>
          <w:lang w:val="nl-NL"/>
        </w:rPr>
        <w:t>manuaalomvang C-f</w:t>
      </w:r>
      <w:r>
        <w:rPr>
          <w:vertAlign w:val="superscript"/>
          <w:lang w:val="nl-NL"/>
        </w:rPr>
        <w:t>3</w:t>
      </w:r>
    </w:p>
    <w:p>
      <w:pPr>
        <w:pStyle w:val="T4dispositie"/>
        <w:rPr>
          <w:lang w:val="nl-NL"/>
        </w:rPr>
      </w:pPr>
      <w:r>
        <w:rPr>
          <w:lang w:val="nl-NL"/>
        </w:rPr>
        <w:t>pedaalomvang C-g</w:t>
      </w:r>
    </w:p>
    <w:p>
      <w:pPr>
        <w:pStyle w:val="T4dispositie"/>
        <w:rPr>
          <w:lang w:val="nl-NL"/>
        </w:rPr>
      </w:pPr>
      <w:r>
        <w:rPr>
          <w:lang w:val="nl-NL"/>
        </w:rPr>
      </w:r>
    </w:p>
    <w:p>
      <w:pPr>
        <w:pStyle w:val="T4dispositie"/>
        <w:rPr>
          <w:lang w:val="nl-NL"/>
        </w:rPr>
      </w:pPr>
      <w:r>
        <w:rPr>
          <w:lang w:val="nl-NL"/>
        </w:rPr>
        <w:t>het orgel stond op een gaanderij achter in de kerk en was opgesteld in twee kasten met een vrijstaande speeltafel daar tussenin; de membraanladen en de pneumatische waren geleverd door Weigle</w:t>
      </w:r>
    </w:p>
    <w:p>
      <w:pPr>
        <w:pStyle w:val="T1"/>
        <w:jc w:val="start"/>
        <w:rPr>
          <w:lang w:val="nl-NL"/>
        </w:rPr>
      </w:pPr>
      <w:r>
        <w:rPr>
          <w:lang w:val="nl-NL"/>
        </w:rPr>
      </w:r>
    </w:p>
    <w:p>
      <w:pPr>
        <w:pStyle w:val="T1"/>
        <w:jc w:val="start"/>
        <w:rPr>
          <w:lang w:val="nl-NL"/>
        </w:rPr>
      </w:pPr>
      <w:r>
        <w:rPr>
          <w:lang w:val="nl-NL"/>
        </w:rPr>
        <w:t>J.J. Elbertse 1935?</w:t>
      </w:r>
    </w:p>
    <w:p>
      <w:pPr>
        <w:pStyle w:val="T1"/>
        <w:numPr>
          <w:ilvl w:val="0"/>
          <w:numId w:val="2"/>
        </w:numPr>
        <w:jc w:val="start"/>
        <w:rPr>
          <w:lang w:val="nl-NL"/>
        </w:rPr>
      </w:pPr>
      <w:r>
        <w:rPr>
          <w:lang w:val="nl-NL"/>
        </w:rPr>
        <w:t>nieuw binnenwerk speeltafel</w:t>
      </w:r>
    </w:p>
    <w:p>
      <w:pPr>
        <w:pStyle w:val="T1"/>
        <w:numPr>
          <w:ilvl w:val="0"/>
          <w:numId w:val="2"/>
        </w:numPr>
        <w:jc w:val="start"/>
        <w:rPr>
          <w:lang w:val="nl-NL"/>
        </w:rPr>
      </w:pPr>
      <w:r>
        <w:rPr>
          <w:lang w:val="nl-NL"/>
        </w:rPr>
        <w:t>mogelijk bij die gelegenheid orgel zachter geïntoneerd door verkleinen openingen pijpvoeten</w:t>
      </w:r>
    </w:p>
    <w:p>
      <w:pPr>
        <w:pStyle w:val="T1"/>
        <w:jc w:val="start"/>
        <w:rPr>
          <w:lang w:val="nl-NL"/>
        </w:rPr>
      </w:pPr>
      <w:r>
        <w:rPr>
          <w:lang w:val="nl-NL"/>
        </w:rPr>
      </w:r>
    </w:p>
    <w:p>
      <w:pPr>
        <w:pStyle w:val="T1"/>
        <w:jc w:val="start"/>
        <w:rPr>
          <w:lang w:val="nl-NL"/>
        </w:rPr>
      </w:pPr>
      <w:r>
        <w:rPr>
          <w:lang w:val="nl-NL"/>
        </w:rPr>
        <w:t>J.J. Elbertse 1956</w:t>
      </w:r>
    </w:p>
    <w:p>
      <w:pPr>
        <w:pStyle w:val="T1"/>
        <w:numPr>
          <w:ilvl w:val="0"/>
          <w:numId w:val="3"/>
        </w:numPr>
        <w:jc w:val="start"/>
        <w:rPr>
          <w:lang w:val="nl-NL"/>
        </w:rPr>
      </w:pPr>
      <w:r>
        <w:rPr>
          <w:lang w:val="nl-NL"/>
        </w:rPr>
        <w:t>revisie</w:t>
      </w:r>
    </w:p>
    <w:p>
      <w:pPr>
        <w:pStyle w:val="T1"/>
        <w:jc w:val="start"/>
        <w:rPr>
          <w:lang w:val="nl-NL"/>
        </w:rPr>
      </w:pPr>
      <w:r>
        <w:rPr>
          <w:lang w:val="nl-NL"/>
        </w:rPr>
      </w:r>
    </w:p>
    <w:p>
      <w:pPr>
        <w:pStyle w:val="T1"/>
        <w:jc w:val="start"/>
        <w:rPr>
          <w:lang w:val="nl-NL"/>
        </w:rPr>
      </w:pPr>
      <w:r>
        <w:rPr>
          <w:lang w:val="nl-NL"/>
        </w:rPr>
        <w:t>1969</w:t>
      </w:r>
    </w:p>
    <w:p>
      <w:pPr>
        <w:pStyle w:val="T1"/>
        <w:numPr>
          <w:ilvl w:val="0"/>
          <w:numId w:val="3"/>
        </w:numPr>
        <w:jc w:val="start"/>
        <w:rPr>
          <w:lang w:val="nl-NL"/>
        </w:rPr>
      </w:pPr>
      <w:r>
        <w:rPr>
          <w:lang w:val="nl-NL"/>
        </w:rPr>
        <w:t>orgel buiten gebruik gesteld</w:t>
      </w:r>
    </w:p>
    <w:p>
      <w:pPr>
        <w:pStyle w:val="T1"/>
        <w:jc w:val="start"/>
        <w:rPr>
          <w:lang w:val="nl-NL"/>
        </w:rPr>
      </w:pPr>
      <w:r>
        <w:rPr>
          <w:lang w:val="nl-NL"/>
        </w:rPr>
      </w:r>
    </w:p>
    <w:p>
      <w:pPr>
        <w:pStyle w:val="T1"/>
        <w:jc w:val="start"/>
        <w:rPr>
          <w:lang w:val="nl-NL"/>
        </w:rPr>
      </w:pPr>
      <w:r>
        <w:rPr>
          <w:lang w:val="nl-NL"/>
        </w:rPr>
        <w:t>J.J. Elbertse &amp; Zn 1994</w:t>
      </w:r>
    </w:p>
    <w:p>
      <w:pPr>
        <w:pStyle w:val="T1"/>
        <w:numPr>
          <w:ilvl w:val="0"/>
          <w:numId w:val="3"/>
        </w:numPr>
        <w:jc w:val="start"/>
        <w:rPr>
          <w:lang w:val="nl-NL"/>
        </w:rPr>
      </w:pPr>
      <w:r>
        <w:rPr>
          <w:lang w:val="nl-NL"/>
        </w:rPr>
        <w:t>nieuw orgel met mechanische tractuur in bestaande, tot een geheel samengevoegde kassen, met gebruikmaking van de windvoorziening en het metalen pijpwerk</w:t>
      </w:r>
    </w:p>
    <w:p>
      <w:pPr>
        <w:pStyle w:val="T1"/>
        <w:numPr>
          <w:ilvl w:val="0"/>
          <w:numId w:val="3"/>
        </w:numPr>
        <w:jc w:val="start"/>
        <w:rPr>
          <w:lang w:val="nl-NL"/>
        </w:rPr>
      </w:pPr>
      <w:r>
        <w:rPr>
          <w:lang w:val="nl-NL"/>
        </w:rPr>
        <w:t>dispositie aangevuld met pijpwerk van elders uit voorraad orgelmaker</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5536" w:type="dxa"/>
        <w:jc w:val="start"/>
        <w:tblInd w:w="-70" w:type="dxa"/>
        <w:tblLayout w:type="fixed"/>
        <w:tblCellMar>
          <w:top w:w="0" w:type="dxa"/>
          <w:start w:w="70" w:type="dxa"/>
          <w:bottom w:w="0" w:type="dxa"/>
          <w:end w:w="70" w:type="dxa"/>
        </w:tblCellMar>
      </w:tblPr>
      <w:tblGrid>
        <w:gridCol w:w="1330"/>
        <w:gridCol w:w="720"/>
        <w:gridCol w:w="1440"/>
        <w:gridCol w:w="573"/>
        <w:gridCol w:w="1047"/>
        <w:gridCol w:w="426"/>
      </w:tblGrid>
      <w:tr>
        <w:trPr/>
        <w:tc>
          <w:tcPr>
            <w:tcW w:w="133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Nazard</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 D</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2-3 st.</w:t>
            </w:r>
          </w:p>
          <w:p>
            <w:pPr>
              <w:pStyle w:val="T4dispositie"/>
              <w:jc w:val="start"/>
              <w:rPr>
                <w:lang w:val="nl-NL"/>
              </w:rPr>
            </w:pPr>
            <w:r>
              <w:rPr>
                <w:lang w:val="nl-NL"/>
              </w:rPr>
              <w:t>3 st.</w:t>
            </w:r>
          </w:p>
        </w:tc>
        <w:tc>
          <w:tcPr>
            <w:tcW w:w="1440" w:type="dxa"/>
            <w:tcBorders/>
          </w:tcPr>
          <w:p>
            <w:pPr>
              <w:pStyle w:val="T4dispositie"/>
              <w:jc w:val="start"/>
              <w:rPr>
                <w:i/>
                <w:i/>
                <w:lang w:val="nl-NL"/>
              </w:rPr>
            </w:pPr>
            <w:r>
              <w:rPr>
                <w:i/>
                <w:lang w:val="nl-NL"/>
              </w:rPr>
              <w:t>Nevenwerk (II)</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Salicionaal</w:t>
            </w:r>
          </w:p>
          <w:p>
            <w:pPr>
              <w:pStyle w:val="T4dispositie"/>
              <w:jc w:val="start"/>
              <w:rPr>
                <w:lang w:val="nl-NL"/>
              </w:rPr>
            </w:pPr>
            <w:r>
              <w:rPr>
                <w:lang w:val="nl-NL"/>
              </w:rPr>
              <w:t>Gamba</w:t>
            </w:r>
          </w:p>
          <w:p>
            <w:pPr>
              <w:pStyle w:val="T4dispositie"/>
              <w:jc w:val="start"/>
              <w:rPr>
                <w:lang w:val="nl-NL"/>
              </w:rPr>
            </w:pPr>
            <w:r>
              <w:rPr>
                <w:lang w:val="nl-NL"/>
              </w:rPr>
              <w:t>Fluit Dolce</w:t>
            </w:r>
          </w:p>
          <w:p>
            <w:pPr>
              <w:pStyle w:val="T4dispositie"/>
              <w:jc w:val="start"/>
              <w:rPr>
                <w:lang w:val="nl-NL"/>
              </w:rPr>
            </w:pPr>
            <w:r>
              <w:rPr>
                <w:lang w:val="nl-NL"/>
              </w:rPr>
              <w:t>Gemshoorn</w:t>
            </w:r>
          </w:p>
        </w:tc>
        <w:tc>
          <w:tcPr>
            <w:tcW w:w="573"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tc>
        <w:tc>
          <w:tcPr>
            <w:tcW w:w="1047" w:type="dxa"/>
            <w:tcBorders/>
          </w:tcPr>
          <w:p>
            <w:pPr>
              <w:pStyle w:val="T4dispositie"/>
              <w:jc w:val="start"/>
              <w:rPr>
                <w:i/>
                <w:i/>
                <w:lang w:val="nl-NL"/>
              </w:rPr>
            </w:pPr>
            <w:r>
              <w:rPr>
                <w:i/>
                <w:lang w:val="nl-NL"/>
              </w:rPr>
              <w:t>Pedaal</w:t>
            </w:r>
          </w:p>
          <w:p>
            <w:pPr>
              <w:pStyle w:val="T4dispositie"/>
              <w:jc w:val="start"/>
              <w:rPr>
                <w:lang w:val="nl-NL"/>
              </w:rPr>
            </w:pPr>
            <w:r>
              <w:rPr>
                <w:lang w:val="nl-NL"/>
              </w:rPr>
              <w:t>2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en-GB"/>
              </w:rPr>
            </w:pPr>
            <w:r>
              <w:rPr>
                <w:lang w:val="en-GB"/>
              </w:rPr>
              <w:t>Gedekt</w:t>
            </w:r>
          </w:p>
        </w:tc>
        <w:tc>
          <w:tcPr>
            <w:tcW w:w="426" w:type="dxa"/>
            <w:tcBorders/>
          </w:tcPr>
          <w:p>
            <w:pPr>
              <w:pStyle w:val="T4dispositie"/>
              <w:snapToGrid w:val="fals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r>
          </w:p>
          <w:p>
            <w:pPr>
              <w:pStyle w:val="T4dispositie"/>
              <w:jc w:val="start"/>
              <w:rPr>
                <w:lang w:val="nl-NL"/>
              </w:rPr>
            </w:pPr>
            <w:r>
              <w:rPr>
                <w:lang w:val="nl-NL"/>
              </w:rPr>
              <w:t>16'</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HW-NW, Ped-HW, Ped-NW</w:t>
      </w:r>
    </w:p>
    <w:p>
      <w:pPr>
        <w:pStyle w:val="T1"/>
        <w:jc w:val="start"/>
        <w:rPr>
          <w:lang w:val="nl-NL"/>
        </w:rPr>
      </w:pPr>
      <w:r>
        <w:rPr>
          <w:lang w:val="nl-NL"/>
        </w:rPr>
      </w:r>
    </w:p>
    <w:p>
      <w:pPr>
        <w:pStyle w:val="T1"/>
        <w:jc w:val="start"/>
        <w:rPr>
          <w:lang w:val="nl-NL"/>
        </w:rPr>
      </w:pPr>
      <w:r>
        <w:rPr>
          <w:lang w:val="nl-NL"/>
        </w:rPr>
        <w:t>Samenstelling vulstemmen</w:t>
      </w:r>
    </w:p>
    <w:tbl>
      <w:tblPr>
        <w:tblW w:w="4286" w:type="dxa"/>
        <w:jc w:val="start"/>
        <w:tblInd w:w="-108" w:type="dxa"/>
        <w:tblLayout w:type="fixed"/>
        <w:tblCellMar>
          <w:top w:w="0" w:type="dxa"/>
          <w:start w:w="108" w:type="dxa"/>
          <w:bottom w:w="0" w:type="dxa"/>
          <w:end w:w="108" w:type="dxa"/>
        </w:tblCellMar>
      </w:tblPr>
      <w:tblGrid>
        <w:gridCol w:w="1099"/>
        <w:gridCol w:w="794"/>
        <w:gridCol w:w="794"/>
        <w:gridCol w:w="805"/>
        <w:gridCol w:w="794"/>
      </w:tblGrid>
      <w:tr>
        <w:trPr/>
        <w:tc>
          <w:tcPr>
            <w:tcW w:w="1099" w:type="dxa"/>
            <w:tcBorders/>
          </w:tcPr>
          <w:p>
            <w:pPr>
              <w:pStyle w:val="T1"/>
              <w:jc w:val="start"/>
              <w:rPr>
                <w:lang w:val="nl-NL"/>
              </w:rPr>
            </w:pPr>
            <w:r>
              <w:rPr>
                <w:lang w:val="nl-NL"/>
              </w:rPr>
              <w:t>Mixtuur</w:t>
            </w:r>
          </w:p>
        </w:tc>
        <w:tc>
          <w:tcPr>
            <w:tcW w:w="794" w:type="dxa"/>
            <w:tcBorders/>
          </w:tcPr>
          <w:p>
            <w:pPr>
              <w:pStyle w:val="T4dispositie"/>
              <w:rPr/>
            </w:pPr>
            <w:r>
              <w:rPr/>
              <w:t>C</w:t>
            </w:r>
          </w:p>
          <w:p>
            <w:pPr>
              <w:pStyle w:val="T4dispositie"/>
              <w:rPr/>
            </w:pPr>
            <w:r>
              <w:rPr/>
              <w:t>1 1/3</w:t>
            </w:r>
          </w:p>
          <w:p>
            <w:pPr>
              <w:pStyle w:val="T4dispositie"/>
              <w:rPr/>
            </w:pPr>
            <w:r>
              <w:rPr/>
              <w:t>1</w:t>
            </w:r>
          </w:p>
        </w:tc>
        <w:tc>
          <w:tcPr>
            <w:tcW w:w="794"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tc>
        <w:tc>
          <w:tcPr>
            <w:tcW w:w="805" w:type="dxa"/>
            <w:tcBorders/>
          </w:tcPr>
          <w:p>
            <w:pPr>
              <w:pStyle w:val="T4dispositie"/>
              <w:rPr/>
            </w:pPr>
            <w:r>
              <w:rPr/>
              <w:t>c</w:t>
            </w:r>
            <w:r>
              <w:rPr>
                <w:szCs w:val="24"/>
                <w:vertAlign w:val="superscript"/>
              </w:rPr>
              <w:t>1</w:t>
            </w:r>
          </w:p>
          <w:p>
            <w:pPr>
              <w:pStyle w:val="T4dispositie"/>
              <w:rPr/>
            </w:pPr>
            <w:r>
              <w:rPr/>
              <w:t>2 2/3</w:t>
            </w:r>
          </w:p>
          <w:p>
            <w:pPr>
              <w:pStyle w:val="T4dispositie"/>
              <w:rPr/>
            </w:pPr>
            <w:r>
              <w:rPr/>
              <w:t>2</w:t>
            </w:r>
          </w:p>
          <w:p>
            <w:pPr>
              <w:pStyle w:val="T4dispositie"/>
              <w:rPr/>
            </w:pPr>
            <w:r>
              <w:rPr/>
              <w:t>1 1/3</w:t>
            </w:r>
          </w:p>
        </w:tc>
        <w:tc>
          <w:tcPr>
            <w:tcW w:w="794" w:type="dxa"/>
            <w:tcBorders/>
          </w:tcPr>
          <w:p>
            <w:pPr>
              <w:pStyle w:val="T4dispositie"/>
              <w:rPr/>
            </w:pPr>
            <w:r>
              <w:rPr/>
              <w:t>c</w:t>
            </w:r>
            <w:r>
              <w:rPr>
                <w:szCs w:val="24"/>
                <w:vertAlign w:val="superscript"/>
              </w:rPr>
              <w:t>2</w:t>
            </w:r>
          </w:p>
          <w:p>
            <w:pPr>
              <w:pStyle w:val="T4dispositie"/>
              <w:rPr/>
            </w:pPr>
            <w:r>
              <w:rPr/>
              <w:t>4</w:t>
            </w:r>
          </w:p>
          <w:p>
            <w:pPr>
              <w:pStyle w:val="T4dispositie"/>
              <w:rPr/>
            </w:pPr>
            <w:r>
              <w:rPr/>
              <w:t>2 2/3</w:t>
            </w:r>
          </w:p>
          <w:p>
            <w:pPr>
              <w:pStyle w:val="T4dispositie"/>
              <w:rPr/>
            </w:pPr>
            <w:r>
              <w:rPr/>
              <w:t>2</w:t>
            </w:r>
          </w:p>
        </w:tc>
      </w:tr>
    </w:tbl>
    <w:p>
      <w:pPr>
        <w:pStyle w:val="T1"/>
        <w:jc w:val="start"/>
        <w:rPr>
          <w:lang w:val="nl-NL"/>
        </w:rPr>
      </w:pPr>
      <w:r>
        <w:rPr>
          <w:lang w:val="nl-NL"/>
        </w:rPr>
      </w:r>
    </w:p>
    <w:p>
      <w:pPr>
        <w:pStyle w:val="T1"/>
        <w:jc w:val="start"/>
        <w:rPr>
          <w:lang w:val="nl-NL"/>
        </w:rPr>
      </w:pPr>
      <w:r>
        <w:rPr>
          <w:lang w:val="nl-NL"/>
        </w:rPr>
        <w:t xml:space="preserve">Cornet    </w:t>
      </w:r>
      <w:r>
        <w:rPr>
          <w:sz w:val="20"/>
        </w:rPr>
        <w:t>c</w:t>
      </w:r>
      <w:r>
        <w:rPr>
          <w:sz w:val="20"/>
          <w:szCs w:val="24"/>
          <w:vertAlign w:val="superscript"/>
        </w:rPr>
        <w:t>1</w:t>
      </w:r>
      <w:r>
        <w:rPr>
          <w:sz w:val="20"/>
        </w:rPr>
        <w:t xml:space="preserve">   4 - 2 2/3 - 1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en regulateur (1897)</w:t>
      </w:r>
    </w:p>
    <w:p>
      <w:pPr>
        <w:pStyle w:val="T1"/>
        <w:jc w:val="start"/>
        <w:rPr>
          <w:lang w:val="nl-NL"/>
        </w:rPr>
      </w:pPr>
      <w:r>
        <w:rPr>
          <w:lang w:val="nl-NL"/>
        </w:rPr>
        <w:t>Winddruk</w:t>
      </w:r>
    </w:p>
    <w:p>
      <w:pPr>
        <w:pStyle w:val="T1"/>
        <w:jc w:val="start"/>
        <w:rPr>
          <w:lang w:val="nl-NL"/>
        </w:rPr>
      </w:pPr>
      <w:r>
        <w:rPr>
          <w:lang w:val="nl-NL"/>
        </w:rPr>
        <w:t>77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klaviatuur is uitgevoerd in Maarschalkerweerd-stijl. De klavieromlijsting is van ebben met ivoren intarsia. De toetsfrontons hebben accoladeboogjes. De registertrekkers zijn aan weerszijden van de handklavieren geplaatst. De porseleinen registerplaatjes zijn voorzien van opschriften in gotische letters.</w:t>
      </w:r>
    </w:p>
    <w:p>
      <w:pPr>
        <w:pStyle w:val="T1"/>
        <w:jc w:val="start"/>
        <w:rPr>
          <w:lang w:val="nl-NL"/>
        </w:rPr>
      </w:pPr>
      <w:r>
        <w:rPr>
          <w:lang w:val="nl-NL"/>
        </w:rPr>
        <w:t>Het pijpwerk van HW en NW staat op een gecombineerde lade met twee ventielkasten. De registers van het NW staan meteen achter het front; die van het HW staan daarachter. De C-kant van het NW is links geplaatst; die van het HW rechts. Het pijpwerk van het Ped staat op twee laden, links en rechts tegen de zijwanden van de kas. De samenstelling en mensuren van de vulstemmen zijn ontleend aan het Maarschalkerweerd-orgel in de St-Vituskerk te Blaricum.</w:t>
      </w:r>
    </w:p>
    <w:p>
      <w:pPr>
        <w:pStyle w:val="T1"/>
        <w:jc w:val="start"/>
        <w:rPr/>
      </w:pPr>
      <w:r>
        <w:rPr>
          <w:lang w:val="nl-NL"/>
        </w:rPr>
        <w:t>C-Dis van de Prestant 8' (HW) zijn zinken binnenpijpen; E-c en d-g staan in het front; cis is afgevoerd, de overige pijpen staan op de lade. Alle pijpen dateren uit 1897 en hebben expressions. C-H van de Roerfluit 8' dateren uit 1994 (hout), de overige pijpen zijn oud. De Octaaf 4' heeft expressions van C-f</w:t>
      </w:r>
      <w:r>
        <w:rPr>
          <w:vertAlign w:val="superscript"/>
          <w:lang w:val="nl-NL"/>
        </w:rPr>
        <w:t>2</w:t>
      </w:r>
      <w:r>
        <w:rPr>
          <w:lang w:val="nl-NL"/>
        </w:rPr>
        <w:t>, het vervolg is op lengte afgesneden. De Nazard 3' is conisch en grotendeels afkomstig uit het voormalige orgel van de Remonstrantse Kerk te Leiden (Witte, 1855); C-c met dubbele stemkrullen; g</w:t>
      </w:r>
      <w:r>
        <w:rPr>
          <w:vertAlign w:val="superscript"/>
          <w:lang w:val="nl-NL"/>
        </w:rPr>
        <w:t>2</w:t>
      </w:r>
      <w:r>
        <w:rPr>
          <w:lang w:val="nl-NL"/>
        </w:rPr>
        <w:t>-f</w:t>
      </w:r>
      <w:r>
        <w:rPr>
          <w:vertAlign w:val="superscript"/>
          <w:lang w:val="nl-NL"/>
        </w:rPr>
        <w:t>3</w:t>
      </w:r>
      <w:r>
        <w:rPr>
          <w:lang w:val="nl-NL"/>
        </w:rPr>
        <w:t xml:space="preserve"> 1994. De Octaaf 2' (1897) heeft expressions van C-f</w:t>
      </w:r>
      <w:r>
        <w:rPr>
          <w:vertAlign w:val="superscript"/>
          <w:lang w:val="nl-NL"/>
        </w:rPr>
        <w:t>1</w:t>
      </w:r>
      <w:r>
        <w:rPr>
          <w:lang w:val="nl-NL"/>
        </w:rPr>
        <w:t>. De Mixtuur bestaat uit pijpwerk uit de jaren 60 van de 20e eeuw dat in mensuur en samenstelling is aangepast. De Cornet staat op een verhoogde bank en dateert uit 1994. De grootste pijpen hebben expressions.</w:t>
      </w:r>
    </w:p>
    <w:p>
      <w:pPr>
        <w:pStyle w:val="T1"/>
        <w:jc w:val="start"/>
        <w:rPr/>
      </w:pPr>
      <w:r>
        <w:rPr>
          <w:lang w:val="nl-NL"/>
        </w:rPr>
        <w:t>C-H van de Bourdon 8' (NW) dateren uit 1994 (hout), het vervolg is van metaal (1897). C-Dis van de Salicionaal 8' (1897) zijn zinken binnenpijpen, E-f staan in het front, het vervolg staat op de lade. Alle pijpen hebben expressions. C-Fis van de Gamba 8' zijn uitgevoerd als Quintadeen, het vervolg is open en voorzien van expressions; freins zijn aanwezig tot en met h</w:t>
      </w:r>
      <w:r>
        <w:rPr>
          <w:vertAlign w:val="superscript"/>
          <w:lang w:val="nl-NL"/>
        </w:rPr>
        <w:t>1</w:t>
      </w:r>
      <w:r>
        <w:rPr>
          <w:lang w:val="nl-NL"/>
        </w:rPr>
        <w:t>. De Fluit Dolce (1897) is van C-f</w:t>
      </w:r>
      <w:r>
        <w:rPr>
          <w:vertAlign w:val="superscript"/>
          <w:lang w:val="nl-NL"/>
        </w:rPr>
        <w:t>2</w:t>
      </w:r>
      <w:r>
        <w:rPr>
          <w:lang w:val="nl-NL"/>
        </w:rPr>
        <w:t xml:space="preserve"> gedekt en verder open, conisch. De Gemshoorn 2' bestaat uit pijpwerk van ca 1900 en is van C-h voorzien van expressions.</w:t>
      </w:r>
    </w:p>
    <w:p>
      <w:pPr>
        <w:pStyle w:val="T1"/>
        <w:jc w:val="start"/>
        <w:rPr>
          <w:lang w:val="nl-NL"/>
        </w:rPr>
      </w:pPr>
      <w:r>
        <w:rPr>
          <w:lang w:val="nl-NL"/>
        </w:rPr>
        <w:t>C-h van de Subbas 16' (Ped) zijn van mahonie, het vervolg is van metaal. C-H van de Gedekt 8' zijn van grenen, het vervolg is van metaal.</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2008-05-05T13:22:00Z</dcterms:created>
  <dc:creator>WS1</dc:creator>
  <dc:description/>
  <dc:language>en-US</dc:language>
  <cp:lastModifiedBy>NIvO</cp:lastModifiedBy>
  <dcterms:modified xsi:type="dcterms:W3CDTF">2008-06-24T13:39:00Z</dcterms:modified>
  <cp:revision>3</cp:revision>
  <dc:subject/>
  <dc:title>Kockengen / 1884</dc:title>
</cp:coreProperties>
</file>