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Meppel / 1897</w:t>
      </w:r>
    </w:p>
    <w:p>
      <w:pPr>
        <w:pStyle w:val="Heading2"/>
        <w:jc w:val="both"/>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Kerkzaal uit 1986.</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Een front uit de reeks identieke Bakker &amp; Timmenga-fronten, terug te voeren op het front van Wouterswoude (1894). Een uitvoering met vlakke velden, zonder ornamentiek bij de pijpvoeten.</w:t>
      </w:r>
    </w:p>
    <w:p>
      <w:pPr>
        <w:pStyle w:val="T2Kunst"/>
        <w:jc w:val="start"/>
        <w:rPr>
          <w:lang w:val="nl-NL"/>
        </w:rPr>
      </w:pPr>
      <w:r>
        <w:rPr>
          <w:lang w:val="nl-NL"/>
        </w:rPr>
        <w:t>De blinderingen in de torens zijn hier transparanter dan bij vergelijkbare fronten uit deze reeks. De thema’s zijn weliswaar hetzelfde, maar de voluten zijn meer als bladrank uitgevoerd, dan als nadrukkelijke vlakke voluutband. Bij de onderste velden slechts een klein bebladerd takje, bij de bovenste velden ook dun snijwerk, dat vaag aan rococo-schuimwerk herinnert. Het kleine ornamentje rond de afsluitende krul van de bovenlijst van de tussenvelden ontbreekt hier.</w:t>
      </w:r>
    </w:p>
    <w:p>
      <w:pPr>
        <w:pStyle w:val="T2Kunst"/>
        <w:jc w:val="start"/>
        <w:rPr>
          <w:lang w:val="nl-NL"/>
        </w:rPr>
      </w:pPr>
      <w:r>
        <w:rPr>
          <w:lang w:val="nl-NL"/>
        </w:rPr>
        <w:t>De opzetstukken vertonen daarentegen weer het vertrouwde spel van voluutbanden en plantaardige omspelingen. Bij de zijtorens eindigen ze in een plantaardig motief dat in de verte aan een palmet verwant kan zijn. Bij de middentoren vormt de vertrouwde lier de bekroning.</w:t>
      </w:r>
    </w:p>
    <w:p>
      <w:pPr>
        <w:pStyle w:val="T2Kunst"/>
        <w:jc w:val="start"/>
        <w:rPr/>
      </w:pPr>
      <w:r>
        <w:rPr>
          <w:lang w:val="nl-NL"/>
        </w:rPr>
        <w:t xml:space="preserve">De vrij korte vleugels bestaan uit een compositie van voluten, bladranken en een uitbundige bloementooi. In de </w:t>
      </w:r>
      <w:r>
        <w:rPr>
          <w:i/>
          <w:iCs/>
          <w:lang w:val="nl-NL"/>
        </w:rPr>
        <w:t>culs-de-lampe</w:t>
      </w:r>
      <w:r>
        <w:rPr>
          <w:lang w:val="nl-NL"/>
        </w:rPr>
        <w:t xml:space="preserve"> is het motief van omgekruld blad toegepast.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De Mixtuur</w:t>
      </w:r>
      <w:r>
        <w:rPr>
          <w:lang w:val="nl-NL"/>
        </w:rPr>
        <w:t>, 50 (1985), 831.</w:t>
      </w:r>
    </w:p>
    <w:p>
      <w:pPr>
        <w:pStyle w:val="T3Lit"/>
        <w:jc w:val="start"/>
        <w:rPr/>
      </w:pPr>
      <w:r>
        <w:rPr>
          <w:i/>
          <w:iCs/>
          <w:lang w:val="nl-NL"/>
        </w:rPr>
        <w:t>Het Orgel</w:t>
      </w:r>
      <w:r>
        <w:rPr>
          <w:lang w:val="nl-NL"/>
        </w:rPr>
        <w:t>, 12/8 (1897), 130; 27/2 (1929), 11.</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Orgelmakerij Bakker &amp; Timmenga, Leeuwarden, HCL.</w:t>
      </w:r>
    </w:p>
    <w:p>
      <w:pPr>
        <w:pStyle w:val="T3Lit"/>
        <w:jc w:val="start"/>
        <w:rPr>
          <w:lang w:val="nl-NL"/>
        </w:rPr>
      </w:pPr>
      <w:r>
        <w:rPr>
          <w:lang w:val="nl-NL"/>
        </w:rPr>
      </w:r>
    </w:p>
    <w:p>
      <w:pPr>
        <w:pStyle w:val="T3Lit"/>
        <w:jc w:val="start"/>
        <w:rPr>
          <w:lang w:val="nl-NL"/>
        </w:rPr>
      </w:pPr>
      <w:r>
        <w:rPr>
          <w:lang w:val="nl-NL"/>
        </w:rPr>
        <w:t>Orgelnummer 1865</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Bakker &amp; Timmenga</w:t>
      </w:r>
    </w:p>
    <w:p>
      <w:pPr>
        <w:pStyle w:val="T1"/>
        <w:jc w:val="start"/>
        <w:rPr>
          <w:lang w:val="nl-NL"/>
        </w:rPr>
      </w:pPr>
      <w:r>
        <w:rPr>
          <w:lang w:val="nl-NL"/>
        </w:rPr>
        <w:t>2. M. Spiering</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1. 1897</w:t>
      </w:r>
    </w:p>
    <w:p>
      <w:pPr>
        <w:pStyle w:val="T1"/>
        <w:jc w:val="start"/>
        <w:rPr>
          <w:lang w:val="nl-NL"/>
        </w:rPr>
      </w:pPr>
      <w:r>
        <w:rPr>
          <w:lang w:val="nl-NL"/>
        </w:rPr>
        <w:t>2. 1929</w:t>
      </w:r>
    </w:p>
    <w:p>
      <w:pPr>
        <w:pStyle w:val="T1"/>
        <w:jc w:val="start"/>
        <w:rPr>
          <w:lang w:val="nl-NL"/>
        </w:rPr>
      </w:pPr>
      <w:r>
        <w:rPr>
          <w:lang w:val="nl-NL"/>
        </w:rPr>
      </w:r>
    </w:p>
    <w:p>
      <w:pPr>
        <w:pStyle w:val="T1"/>
        <w:jc w:val="start"/>
        <w:rPr>
          <w:lang w:val="nl-NL"/>
        </w:rPr>
      </w:pPr>
      <w:r>
        <w:rPr>
          <w:lang w:val="nl-NL"/>
        </w:rPr>
        <w:t>M. Spiering 1929</w:t>
      </w:r>
    </w:p>
    <w:p>
      <w:pPr>
        <w:pStyle w:val="T1"/>
        <w:numPr>
          <w:ilvl w:val="0"/>
          <w:numId w:val="2"/>
        </w:numPr>
        <w:jc w:val="start"/>
        <w:rPr>
          <w:lang w:val="nl-NL"/>
        </w:rPr>
      </w:pPr>
      <w:r>
        <w:rPr>
          <w:lang w:val="nl-NL"/>
        </w:rPr>
        <w:t>orgel hersteld en uitgebreid met kegellade en pneumatische tractuur voor Subbas 16' (Ped)</w:t>
      </w:r>
    </w:p>
    <w:p>
      <w:pPr>
        <w:pStyle w:val="T1"/>
        <w:numPr>
          <w:ilvl w:val="0"/>
          <w:numId w:val="2"/>
        </w:numPr>
        <w:jc w:val="start"/>
        <w:rPr>
          <w:lang w:val="nl-NL"/>
        </w:rPr>
      </w:pPr>
      <w:r>
        <w:rPr>
          <w:lang w:val="nl-NL"/>
        </w:rPr>
        <w:t>pedaalklavier vernieuwd, pedaalkoppel toegevoegd</w:t>
      </w:r>
    </w:p>
    <w:p>
      <w:pPr>
        <w:pStyle w:val="T1"/>
        <w:numPr>
          <w:ilvl w:val="0"/>
          <w:numId w:val="2"/>
        </w:numPr>
        <w:jc w:val="start"/>
        <w:rPr>
          <w:lang w:val="nl-NL"/>
        </w:rPr>
      </w:pPr>
      <w:r>
        <w:rPr>
          <w:lang w:val="nl-NL"/>
        </w:rPr>
        <w:t>Man + Fluit B 4'/Klarinet D 8' op gereserveerde plaats</w:t>
      </w:r>
    </w:p>
    <w:p>
      <w:pPr>
        <w:pStyle w:val="T1"/>
        <w:numPr>
          <w:ilvl w:val="0"/>
          <w:numId w:val="2"/>
        </w:numPr>
        <w:jc w:val="start"/>
        <w:rPr>
          <w:lang w:val="nl-NL"/>
        </w:rPr>
      </w:pPr>
      <w:r>
        <w:rPr>
          <w:lang w:val="nl-NL"/>
        </w:rPr>
        <w:t>- ventiel, + tremulant</w:t>
      </w:r>
    </w:p>
    <w:p>
      <w:pPr>
        <w:pStyle w:val="T1"/>
        <w:jc w:val="start"/>
        <w:rPr>
          <w:lang w:val="nl-NL"/>
        </w:rPr>
      </w:pPr>
      <w:r>
        <w:rPr>
          <w:lang w:val="nl-NL"/>
        </w:rPr>
      </w:r>
    </w:p>
    <w:p>
      <w:pPr>
        <w:pStyle w:val="T1"/>
        <w:jc w:val="start"/>
        <w:rPr>
          <w:lang w:val="nl-NL"/>
        </w:rPr>
      </w:pPr>
      <w:r>
        <w:rPr>
          <w:lang w:val="nl-NL"/>
        </w:rPr>
        <w:t>Kaat &amp; Tijhuis 1979</w:t>
      </w:r>
    </w:p>
    <w:p>
      <w:pPr>
        <w:pStyle w:val="T1"/>
        <w:numPr>
          <w:ilvl w:val="0"/>
          <w:numId w:val="4"/>
        </w:numPr>
        <w:jc w:val="start"/>
        <w:rPr>
          <w:lang w:val="nl-NL"/>
        </w:rPr>
      </w:pPr>
      <w:r>
        <w:rPr>
          <w:lang w:val="nl-NL"/>
        </w:rPr>
        <w:t>orgel hersteld</w:t>
      </w:r>
    </w:p>
    <w:p>
      <w:pPr>
        <w:pStyle w:val="T1"/>
        <w:numPr>
          <w:ilvl w:val="0"/>
          <w:numId w:val="4"/>
        </w:numPr>
        <w:jc w:val="start"/>
        <w:rPr>
          <w:lang w:val="nl-NL"/>
        </w:rPr>
      </w:pPr>
      <w:r>
        <w:rPr>
          <w:lang w:val="nl-NL"/>
        </w:rPr>
        <w:t>magazijnbalg en wellenbord gerestaureerd</w:t>
      </w:r>
    </w:p>
    <w:p>
      <w:pPr>
        <w:pStyle w:val="T1"/>
        <w:jc w:val="start"/>
        <w:rPr>
          <w:lang w:val="nl-NL"/>
        </w:rPr>
      </w:pPr>
      <w:r>
        <w:rPr>
          <w:lang w:val="nl-NL"/>
        </w:rPr>
      </w:r>
    </w:p>
    <w:p>
      <w:pPr>
        <w:pStyle w:val="T1"/>
        <w:jc w:val="start"/>
        <w:rPr>
          <w:lang w:val="nl-NL"/>
        </w:rPr>
      </w:pPr>
      <w:r>
        <w:rPr>
          <w:lang w:val="nl-NL"/>
        </w:rPr>
        <w:t>Kaat &amp; Tijhuis 1984</w:t>
      </w:r>
    </w:p>
    <w:p>
      <w:pPr>
        <w:pStyle w:val="T1"/>
        <w:numPr>
          <w:ilvl w:val="0"/>
          <w:numId w:val="3"/>
        </w:numPr>
        <w:jc w:val="start"/>
        <w:rPr>
          <w:lang w:val="nl-NL"/>
        </w:rPr>
      </w:pPr>
      <w:r>
        <w:rPr>
          <w:lang w:val="nl-NL"/>
        </w:rPr>
        <w:t>Subbas 16' op nieuwe mechanische lade achter de kas geplaatst</w:t>
      </w:r>
    </w:p>
    <w:p>
      <w:pPr>
        <w:pStyle w:val="T1"/>
        <w:jc w:val="start"/>
        <w:rPr>
          <w:lang w:val="nl-NL"/>
        </w:rPr>
      </w:pPr>
      <w:r>
        <w:rPr>
          <w:lang w:val="nl-NL"/>
        </w:rPr>
      </w:r>
    </w:p>
    <w:p>
      <w:pPr>
        <w:pStyle w:val="T1"/>
        <w:jc w:val="start"/>
        <w:rPr>
          <w:lang w:val="nl-NL"/>
        </w:rPr>
      </w:pPr>
      <w:r>
        <w:rPr>
          <w:lang w:val="nl-NL"/>
        </w:rPr>
        <w:t>Kaat &amp; Tijhuis 1985</w:t>
      </w:r>
    </w:p>
    <w:p>
      <w:pPr>
        <w:pStyle w:val="T1"/>
        <w:numPr>
          <w:ilvl w:val="0"/>
          <w:numId w:val="3"/>
        </w:numPr>
        <w:jc w:val="start"/>
        <w:rPr>
          <w:lang w:val="nl-NL"/>
        </w:rPr>
      </w:pPr>
      <w:r>
        <w:rPr>
          <w:lang w:val="nl-NL"/>
        </w:rPr>
        <w:t>orgel gedemonteerd in verband met afbraak kerkgebouw</w:t>
      </w:r>
    </w:p>
    <w:p>
      <w:pPr>
        <w:pStyle w:val="T1"/>
        <w:jc w:val="start"/>
        <w:rPr>
          <w:lang w:val="nl-NL"/>
        </w:rPr>
      </w:pPr>
      <w:r>
        <w:rPr>
          <w:lang w:val="nl-NL"/>
        </w:rPr>
      </w:r>
    </w:p>
    <w:p>
      <w:pPr>
        <w:pStyle w:val="T1"/>
        <w:jc w:val="start"/>
        <w:rPr>
          <w:lang w:val="nl-NL"/>
        </w:rPr>
      </w:pPr>
      <w:r>
        <w:rPr>
          <w:lang w:val="nl-NL"/>
        </w:rPr>
        <w:t>Kaat &amp; Tijhuis 1986</w:t>
      </w:r>
    </w:p>
    <w:p>
      <w:pPr>
        <w:pStyle w:val="T1"/>
        <w:numPr>
          <w:ilvl w:val="0"/>
          <w:numId w:val="3"/>
        </w:numPr>
        <w:jc w:val="start"/>
        <w:rPr>
          <w:lang w:val="nl-NL"/>
        </w:rPr>
      </w:pPr>
      <w:r>
        <w:rPr>
          <w:lang w:val="nl-NL"/>
        </w:rPr>
        <w:t>orgel herplaatst in nieuw kerkgebouw</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68" w:type="dxa"/>
        <w:jc w:val="start"/>
        <w:tblInd w:w="-108" w:type="dxa"/>
        <w:tblLayout w:type="fixed"/>
        <w:tblCellMar>
          <w:top w:w="0" w:type="dxa"/>
          <w:start w:w="108" w:type="dxa"/>
          <w:bottom w:w="0" w:type="dxa"/>
          <w:end w:w="108" w:type="dxa"/>
        </w:tblCellMar>
      </w:tblPr>
      <w:tblGrid>
        <w:gridCol w:w="1728"/>
        <w:gridCol w:w="575"/>
        <w:gridCol w:w="865"/>
        <w:gridCol w:w="900"/>
      </w:tblGrid>
      <w:tr>
        <w:trPr/>
        <w:tc>
          <w:tcPr>
            <w:tcW w:w="1728" w:type="dxa"/>
            <w:tcBorders/>
          </w:tcPr>
          <w:p>
            <w:pPr>
              <w:pStyle w:val="T4dispositie"/>
              <w:jc w:val="start"/>
              <w:rPr>
                <w:i/>
                <w:i/>
                <w:lang w:val="nl-NL"/>
              </w:rPr>
            </w:pPr>
            <w:r>
              <w:rPr>
                <w:i/>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Voix Celeste</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Gemshoorn</w:t>
            </w:r>
          </w:p>
          <w:p>
            <w:pPr>
              <w:pStyle w:val="T4dispositie"/>
              <w:jc w:val="start"/>
              <w:rPr>
                <w:lang w:val="nl-NL"/>
              </w:rPr>
            </w:pPr>
            <w:r>
              <w:rPr>
                <w:lang w:val="nl-NL"/>
              </w:rPr>
              <w:t>Fluit B 4'/Klarinet</w:t>
            </w:r>
          </w:p>
        </w:tc>
        <w:tc>
          <w:tcPr>
            <w:tcW w:w="5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865" w:type="dxa"/>
            <w:tcBorders/>
          </w:tcPr>
          <w:p>
            <w:pPr>
              <w:pStyle w:val="T4dispositie"/>
              <w:jc w:val="start"/>
              <w:rPr>
                <w:i/>
                <w:i/>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(1897)</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 xml:space="preserve"> (Fluit 4'/Klarinet, op één knop).</w:t>
      </w:r>
    </w:p>
    <w:p>
      <w:pPr>
        <w:pStyle w:val="T1"/>
        <w:jc w:val="start"/>
        <w:rPr>
          <w:lang w:val="nl-NL"/>
        </w:rPr>
      </w:pPr>
      <w:r>
        <w:rPr>
          <w:lang w:val="nl-NL"/>
        </w:rPr>
        <w:t>In het bestek van 23 februari 1897 wordt een winddruk van 75 mm genoemd.</w:t>
      </w:r>
    </w:p>
    <w:p>
      <w:pPr>
        <w:pStyle w:val="T1"/>
        <w:jc w:val="start"/>
        <w:rPr>
          <w:lang w:val="nl-NL"/>
        </w:rPr>
      </w:pPr>
      <w:r>
        <w:rPr>
          <w:lang w:val="nl-NL"/>
        </w:rPr>
        <w:t>De in 1929 geplaatste Subbas 16' stond achter het orgel op een kegellade met pneumatische tractuur. In 1984 is het register op een mechanische sleeplade geplaatst en van een separate, achter het orgel opgestelde pedaalkas voorzien. Het pedaalwalsraam ligt tussen de orgelkas en de pedaalkas onder een daarvoor gemaakte vlonder.</w:t>
      </w:r>
    </w:p>
    <w:p>
      <w:pPr>
        <w:pStyle w:val="T1"/>
        <w:jc w:val="start"/>
        <w:rPr/>
      </w:pPr>
      <w:r>
        <w:rPr>
          <w:lang w:val="nl-NL"/>
        </w:rPr>
        <w:t>De frontpijpen zijn van tin. In het front spreken E-e</w:t>
      </w:r>
      <w:r>
        <w:rPr>
          <w:vertAlign w:val="superscript"/>
          <w:lang w:val="nl-NL"/>
        </w:rPr>
        <w:t>1</w:t>
      </w:r>
      <w:r>
        <w:rPr>
          <w:lang w:val="nl-NL"/>
        </w:rPr>
        <w:t xml:space="preserve"> van de Prestant 8' (drie torens, behalve de middelste pijp van beide zijtorens, en in de ondervelden aan weerszijden de drie grootste pijpen) en C-Cis van de Octaaf 4' (in beide zijtorens de middelste pijp).</w:t>
      </w:r>
    </w:p>
    <w:p>
      <w:pPr>
        <w:pStyle w:val="T1"/>
        <w:jc w:val="start"/>
        <w:rPr>
          <w:lang w:val="nl-NL"/>
        </w:rPr>
      </w:pPr>
      <w:r>
        <w:rPr>
          <w:lang w:val="nl-NL"/>
        </w:rPr>
        <w:t>Het handklavier is een eiken staartklavier, voorzien van ivoorbeleg op de ondertoetsen. De registerknoppen, waarop witte porseleinen naamplaatjes zijn bevestigd, zijn boven de lessenaar geplaatst, behalve drie knoppen rechts van het klavier: Tremulant (geel plaatje), Subbas (groen plaatje) en de Pedaalkoppel (wit plaatje). Het pedaalklavier heeft boventoetsen van verschillende lengte. Het oorspronkelijk pedaalklavier had (volgens bestek) een omvang van C-g.</w:t>
      </w:r>
    </w:p>
    <w:p>
      <w:pPr>
        <w:pStyle w:val="T1"/>
        <w:jc w:val="start"/>
        <w:rPr>
          <w:lang w:val="nl-NL"/>
        </w:rPr>
      </w:pPr>
      <w:r>
        <w:rPr>
          <w:lang w:val="nl-NL"/>
        </w:rPr>
        <w:t>Het windtoestel is in de onderkas geplaatst. De pompboom bevindt zich binnen de orgelkas en steekt aan de linkerzijde uit. De Tremulant is een pneumatisch exemplaar.</w:t>
      </w:r>
    </w:p>
    <w:p>
      <w:pPr>
        <w:pStyle w:val="T1"/>
        <w:jc w:val="start"/>
        <w:rPr/>
      </w:pPr>
      <w:r>
        <w:rPr>
          <w:lang w:val="nl-NL"/>
        </w:rPr>
        <w:t>De eiken windlade heeft mahonie stokken. De drie opliggende voorslagen van de ventielkast zijn van jongere makelij. De cancelvolgorde is: f cis A G H dis g / f</w:t>
      </w:r>
      <w:r>
        <w:rPr>
          <w:vertAlign w:val="superscript"/>
          <w:lang w:val="nl-NL"/>
        </w:rPr>
        <w:t>3</w:t>
      </w:r>
      <w:r>
        <w:rPr>
          <w:lang w:val="nl-NL"/>
        </w:rPr>
        <w:t>-a / F Dis Cis C D E Fis / b-e</w:t>
      </w:r>
      <w:r>
        <w:rPr>
          <w:vertAlign w:val="superscript"/>
          <w:lang w:val="nl-NL"/>
        </w:rPr>
        <w:t>3</w:t>
      </w:r>
      <w:r>
        <w:rPr>
          <w:lang w:val="nl-NL"/>
        </w:rPr>
        <w:t xml:space="preserve"> / gis e c Gis B d fis (f aan klaviatuurzijde). Onder de lade een eiken walsraam.</w:t>
      </w:r>
    </w:p>
    <w:p>
      <w:pPr>
        <w:pStyle w:val="T1"/>
        <w:jc w:val="start"/>
        <w:rPr/>
      </w:pPr>
      <w:r>
        <w:rPr>
          <w:lang w:val="nl-NL"/>
        </w:rPr>
        <w:t>C-Dis van de Prestant 8' zijn van hout. De Bourdon 8' heeft eiken pijpen voor C-H. De Viola di Gamba is van C-H gecombineerd met de Prestant; de Voix Celeste met de Bourdon. De Fluit 4' is van C-f</w:t>
      </w:r>
      <w:r>
        <w:rPr>
          <w:vertAlign w:val="superscript"/>
          <w:lang w:val="nl-NL"/>
        </w:rPr>
        <w:t>2</w:t>
      </w:r>
      <w:r>
        <w:rPr>
          <w:lang w:val="nl-NL"/>
        </w:rPr>
        <w:t xml:space="preserve"> gedekt en verder open, conisch. De Gemshoorn 2' is conisch. De Fluit B 4' op de Klarinetsleep is gedekt; de Klarinet heeft zinken stevels, loden koppen en metalen bekers. Het labiale binnenpijpwerk bezit spits geritste labia. Het pijpwerk van de Subbas dateert uit 1929 en is van naaldhout.</w:t>
      </w:r>
    </w:p>
    <w:p>
      <w:pPr>
        <w:pStyle w:val="T1"/>
        <w:jc w:val="start"/>
        <w:rPr/>
      </w:pPr>
      <w:r>
        <w:rPr>
          <w:lang w:val="nl-NL"/>
        </w:rPr>
        <w:t>Expressions komen voor bij Prestant, Viola di Gamba en Voix Celeste tot en met h</w:t>
      </w:r>
      <w:r>
        <w:rPr>
          <w:vertAlign w:val="superscript"/>
          <w:lang w:val="nl-NL"/>
        </w:rPr>
        <w:t>2</w:t>
      </w:r>
      <w:r>
        <w:rPr>
          <w:lang w:val="nl-NL"/>
        </w:rPr>
        <w:t>, bij de Octaaf 4' (C-h</w:t>
      </w:r>
      <w:r>
        <w:rPr>
          <w:vertAlign w:val="superscript"/>
          <w:lang w:val="nl-NL"/>
        </w:rPr>
        <w:t>1</w:t>
      </w:r>
      <w:r>
        <w:rPr>
          <w:lang w:val="nl-NL"/>
        </w:rPr>
        <w:t>), en bij de Gemshoorn 2' (C-gis).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Times New Roman" w:hAnsi="Times New Roman" w:eastAsia="Times New Roman" w:cs="Times New Roman"/>
    </w:rPr>
  </w:style>
  <w:style w:type="character" w:styleId="WW8Num1z2">
    <w:name w:val="WW8Num1z2"/>
    <w:qFormat/>
    <w:rPr>
      <w:rFonts w:ascii="Wingdings" w:hAnsi="Wingdings" w:cs="Wingdings"/>
    </w:rPr>
  </w:style>
  <w:style w:type="character" w:styleId="WW8Num1z4">
    <w:name w:val="WW8Num1z4"/>
    <w:qFormat/>
    <w:rPr>
      <w:rFonts w:ascii="Courier New" w:hAnsi="Courier New" w:cs="Courier New"/>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2008-05-05T13:23:00Z</dcterms:created>
  <dc:creator>WS1</dc:creator>
  <dc:description/>
  <dc:language>en-US</dc:language>
  <cp:lastModifiedBy>NIvO</cp:lastModifiedBy>
  <cp:lastPrinted>2002-01-08T11:24:00Z</cp:lastPrinted>
  <dcterms:modified xsi:type="dcterms:W3CDTF">2008-06-24T13:41:00Z</dcterms:modified>
  <cp:revision>4</cp:revision>
  <dc:subject/>
  <dc:title>Vrouwenpolder/ca 1845</dc:title>
</cp:coreProperties>
</file>