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Nootdorp / 1897</w:t>
      </w:r>
    </w:p>
    <w:p>
      <w:pPr>
        <w:pStyle w:val="Heading2"/>
        <w:rPr>
          <w:i w:val="false"/>
          <w:i w:val="false"/>
          <w:iCs/>
        </w:rPr>
      </w:pPr>
      <w:r>
        <w:rPr>
          <w:i w:val="false"/>
          <w:iCs/>
        </w:rPr>
        <w:t>R.K. St-Bartholomeuskerk</w:t>
      </w:r>
    </w:p>
    <w:p>
      <w:pPr>
        <w:pStyle w:val="T1"/>
        <w:jc w:val="start"/>
        <w:rPr>
          <w:i/>
          <w:i/>
          <w:iCs/>
          <w:lang w:val="nl-NL"/>
        </w:rPr>
      </w:pPr>
      <w:r>
        <w:rPr>
          <w:i/>
          <w:iCs/>
          <w:lang w:val="nl-NL"/>
        </w:rPr>
      </w:r>
    </w:p>
    <w:p>
      <w:pPr>
        <w:pStyle w:val="T1"/>
        <w:jc w:val="start"/>
        <w:rPr>
          <w:i/>
          <w:i/>
          <w:iCs/>
          <w:lang w:val="nl-NL"/>
        </w:rPr>
      </w:pPr>
      <w:r>
        <w:rPr>
          <w:i/>
          <w:iCs/>
          <w:lang w:val="nl-NL"/>
        </w:rPr>
        <w:t>Neogotische kruiskerk met vijfzijdig gesloten koor en driezijdig gesloten dwarspanden naar ontwerp van E.J. Margry, geconsacreerd in 1871. Fronttoren met achtzijdige naaldspits en stenen erkertorens. Hoofdaltaar uit atelier Margry. Preekstoel (1886) en Maria-altaar (1907) uit het atelier van J.A. Oor.</w:t>
      </w:r>
    </w:p>
    <w:p>
      <w:pPr>
        <w:pStyle w:val="T1"/>
        <w:jc w:val="start"/>
        <w:rPr>
          <w:i/>
          <w:i/>
          <w:iCs/>
          <w:lang w:val="nl-NL"/>
        </w:rPr>
      </w:pPr>
      <w:r>
        <w:rPr>
          <w:i/>
          <w:iCs/>
          <w:lang w:val="nl-NL"/>
        </w:rPr>
      </w:r>
    </w:p>
    <w:p>
      <w:pPr>
        <w:pStyle w:val="T1"/>
        <w:rPr>
          <w:lang w:val="nl-NL"/>
        </w:rPr>
      </w:pPr>
      <w:r>
        <w:rPr>
          <w:lang w:val="nl-NL"/>
        </w:rPr>
        <w:t>Kas: 1897</w:t>
      </w:r>
    </w:p>
    <w:p>
      <w:pPr>
        <w:pStyle w:val="T1"/>
        <w:rPr>
          <w:lang w:val="nl-NL"/>
        </w:rPr>
      </w:pPr>
      <w:r>
        <w:rPr>
          <w:lang w:val="nl-NL"/>
        </w:rPr>
      </w:r>
    </w:p>
    <w:p>
      <w:pPr>
        <w:pStyle w:val="T2Kunst"/>
        <w:rPr>
          <w:b/>
          <w:b/>
          <w:bCs/>
          <w:lang w:val="nl-NL"/>
        </w:rPr>
      </w:pPr>
      <w:r>
        <w:rPr>
          <w:b/>
          <w:bCs/>
          <w:lang w:val="nl-NL"/>
        </w:rPr>
        <w:t>Kunsthistorische aspecten</w:t>
      </w:r>
    </w:p>
    <w:p>
      <w:pPr>
        <w:pStyle w:val="T2Kunst"/>
        <w:jc w:val="start"/>
        <w:rPr>
          <w:lang w:val="nl-NL"/>
        </w:rPr>
      </w:pPr>
      <w:r>
        <w:rPr>
          <w:lang w:val="nl-NL"/>
        </w:rPr>
        <w:t>Bij het front van het Ypma-orgel in Nootdorp is het zoeken naar de logica. Het is goed eerst de samenstellende delen te bezien en daarna het geheel. Links en rechts van het orgel lopen houten wanden met deuren, met aan de bovenzijde een niet ongebruikelijk spitsboogfries en toten, hoewel dit bij Ypma meestal aan de bovenranden van het front voorkomt. Beide elementen lopen weliswaar door in de onderkas van het orgel en langs de pijpen, de toten, maar de horizontale lijn die hierdoor ontstaat ondermijnt het ontwerp van de kas. Deze stond oorspronkelijk op een oksaal, elders in de kerk. De speeltafel bevond zich daarbij aan de linkerzijde van het orgel, waarbij het de vraag is of het geheel niet ook wat lager is geweest en of de gotische vierpassen, net als het spitsboogfries, origineel zijn.</w:t>
      </w:r>
    </w:p>
    <w:p>
      <w:pPr>
        <w:pStyle w:val="T2Kunst"/>
        <w:jc w:val="start"/>
        <w:rPr>
          <w:lang w:val="nl-NL"/>
        </w:rPr>
      </w:pPr>
      <w:r>
        <w:rPr>
          <w:lang w:val="nl-NL"/>
        </w:rPr>
        <w:t>De vijfdelige opbouw is niet geheel ongebruikelijk voor Ypma in deze periode. Het verloop van de labia doet echter eentonig aan en loopt bij latere orgels van Ypma met dezelfde vijfdelige opbouw van buiten naar binnen af. De neogotische versieringen van het front verder zijn ingetogen: we zien rondbogen met toten en bovenop de hoofdvelden een kanteellijst.</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R.J. Labordus en M.A.P. Verwijmeren, </w:t>
      </w:r>
      <w:r>
        <w:rPr>
          <w:i/>
          <w:lang w:val="nl-NL"/>
        </w:rPr>
        <w:t>De Bartholomeusparochie van Nootdorp. De geschiedenis van haar kerkgebouw 1871-1996.</w:t>
      </w:r>
      <w:r>
        <w:rPr>
          <w:lang w:val="nl-NL"/>
        </w:rPr>
        <w:t xml:space="preserve"> Nootdorp, 1996, 72-81.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fr-FR"/>
        </w:rPr>
        <w:t xml:space="preserve">A. Bouman, </w:t>
      </w:r>
      <w:r>
        <w:rPr>
          <w:i/>
          <w:iCs/>
          <w:lang w:val="fr-FR"/>
        </w:rPr>
        <w:t>Dispositiecahier V</w:t>
      </w:r>
      <w:r>
        <w:rPr>
          <w:lang w:val="fr-FR"/>
        </w:rPr>
        <w:t>.</w:t>
      </w:r>
    </w:p>
    <w:p>
      <w:pPr>
        <w:pStyle w:val="T3Lit"/>
        <w:jc w:val="start"/>
        <w:rPr>
          <w:lang w:val="nl-NL"/>
        </w:rPr>
      </w:pPr>
      <w:r>
        <w:rPr>
          <w:lang w:val="nl-NL"/>
        </w:rPr>
        <w:t>Archief Flentrop Orgelbouw.</w:t>
      </w:r>
    </w:p>
    <w:p>
      <w:pPr>
        <w:pStyle w:val="T3Lit"/>
        <w:jc w:val="start"/>
        <w:rPr/>
      </w:pPr>
      <w:r>
        <w:rPr>
          <w:lang w:val="nl-NL"/>
        </w:rPr>
        <w:t xml:space="preserve">Wim Loos, </w:t>
      </w:r>
      <w:r>
        <w:rPr>
          <w:i/>
          <w:lang w:val="nl-NL"/>
        </w:rPr>
        <w:t>Inleiding tot het werk van de orgelmakers Ypma</w:t>
      </w:r>
      <w:r>
        <w:rPr>
          <w:lang w:val="nl-NL"/>
        </w:rPr>
        <w:t>. Utrecht, 1990, 132-134.</w:t>
      </w:r>
    </w:p>
    <w:p>
      <w:pPr>
        <w:pStyle w:val="T3Lit"/>
        <w:jc w:val="start"/>
        <w:rPr>
          <w:lang w:val="nl-NL"/>
        </w:rPr>
      </w:pPr>
      <w:r>
        <w:rPr>
          <w:lang w:val="nl-NL"/>
        </w:rPr>
      </w:r>
    </w:p>
    <w:p>
      <w:pPr>
        <w:pStyle w:val="T3Lit"/>
        <w:rPr>
          <w:lang w:val="nl-NL"/>
        </w:rPr>
      </w:pPr>
      <w:r>
        <w:rPr>
          <w:lang w:val="nl-NL"/>
        </w:rPr>
      </w:r>
    </w:p>
    <w:p>
      <w:pPr>
        <w:pStyle w:val="T3Lit"/>
        <w:rPr>
          <w:lang w:val="nl-NL"/>
        </w:rPr>
      </w:pPr>
      <w:r>
        <w:rPr>
          <w:lang w:val="nl-NL"/>
        </w:rPr>
        <w:t>Monumentnummer 516024</w:t>
      </w:r>
    </w:p>
    <w:p>
      <w:pPr>
        <w:pStyle w:val="T3Lit"/>
        <w:rPr>
          <w:lang w:val="nl-NL"/>
        </w:rPr>
      </w:pPr>
      <w:r>
        <w:rPr>
          <w:lang w:val="nl-NL"/>
        </w:rPr>
        <w:t>Orgelnummer 1102</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L. Ypma &amp; Co</w:t>
      </w:r>
    </w:p>
    <w:p>
      <w:pPr>
        <w:pStyle w:val="T1"/>
        <w:rPr>
          <w:lang w:val="nl-NL"/>
        </w:rPr>
      </w:pPr>
      <w:r>
        <w:rPr>
          <w:lang w:val="nl-NL"/>
        </w:rPr>
        <w:t>2. P.C. Bik</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1. 1897</w:t>
      </w:r>
    </w:p>
    <w:p>
      <w:pPr>
        <w:pStyle w:val="T1"/>
        <w:rPr>
          <w:lang w:val="nl-NL"/>
        </w:rPr>
      </w:pPr>
      <w:r>
        <w:rPr>
          <w:lang w:val="nl-NL"/>
        </w:rPr>
        <w:t>2. 1942</w:t>
      </w:r>
    </w:p>
    <w:p>
      <w:pPr>
        <w:pStyle w:val="T1"/>
        <w:rPr>
          <w:lang w:val="nl-NL"/>
        </w:rPr>
      </w:pPr>
      <w:r>
        <w:rPr>
          <w:lang w:val="nl-NL"/>
        </w:rPr>
      </w:r>
    </w:p>
    <w:p>
      <w:pPr>
        <w:pStyle w:val="T1"/>
        <w:rPr/>
      </w:pPr>
      <w:r>
        <w:rPr/>
        <w:t xml:space="preserve">Dispositie volgens bestek 1896 </w:t>
      </w:r>
    </w:p>
    <w:tbl>
      <w:tblPr>
        <w:tblW w:w="2448" w:type="dxa"/>
        <w:jc w:val="start"/>
        <w:tblInd w:w="-108" w:type="dxa"/>
        <w:tblLayout w:type="fixed"/>
        <w:tblCellMar>
          <w:top w:w="0" w:type="dxa"/>
          <w:start w:w="108" w:type="dxa"/>
          <w:bottom w:w="0" w:type="dxa"/>
          <w:end w:w="108" w:type="dxa"/>
        </w:tblCellMar>
      </w:tblPr>
      <w:tblGrid>
        <w:gridCol w:w="1728"/>
        <w:gridCol w:w="720"/>
      </w:tblGrid>
      <w:tr>
        <w:trPr/>
        <w:tc>
          <w:tcPr>
            <w:tcW w:w="1728"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1"/>
        <w:rPr>
          <w:lang w:val="nl-NL"/>
        </w:rPr>
      </w:pPr>
      <w:r>
        <w:rPr>
          <w:lang w:val="nl-NL"/>
        </w:rPr>
      </w:r>
    </w:p>
    <w:p>
      <w:pPr>
        <w:pStyle w:val="T1"/>
        <w:rPr>
          <w:lang w:val="nl-NL"/>
        </w:rPr>
      </w:pPr>
      <w:r>
        <w:rPr>
          <w:lang w:val="nl-NL"/>
        </w:rPr>
        <w:t>P.C. Bik 1942</w:t>
      </w:r>
    </w:p>
    <w:p>
      <w:pPr>
        <w:pStyle w:val="T1"/>
        <w:numPr>
          <w:ilvl w:val="0"/>
          <w:numId w:val="3"/>
        </w:numPr>
        <w:rPr>
          <w:lang w:val="nl-NL"/>
        </w:rPr>
      </w:pPr>
      <w:r>
        <w:rPr>
          <w:lang w:val="nl-NL"/>
        </w:rPr>
        <w:t>orgel verbouwd en uitgebreid met tweede manuaal en pedaal</w:t>
      </w:r>
    </w:p>
    <w:p>
      <w:pPr>
        <w:pStyle w:val="T1"/>
        <w:numPr>
          <w:ilvl w:val="0"/>
          <w:numId w:val="3"/>
        </w:numPr>
        <w:rPr>
          <w:lang w:val="nl-NL"/>
        </w:rPr>
      </w:pPr>
      <w:r>
        <w:rPr>
          <w:lang w:val="nl-NL"/>
        </w:rPr>
        <w:t>klaviatuur verplaatst van linkerzijde naar voorzijde kas</w:t>
      </w:r>
    </w:p>
    <w:p>
      <w:pPr>
        <w:pStyle w:val="T1"/>
        <w:numPr>
          <w:ilvl w:val="0"/>
          <w:numId w:val="3"/>
        </w:numPr>
        <w:rPr>
          <w:lang w:val="nl-NL"/>
        </w:rPr>
      </w:pPr>
      <w:r>
        <w:rPr>
          <w:lang w:val="nl-NL"/>
        </w:rPr>
        <w:t>mechanieken grotendeels vernieuwd</w:t>
      </w:r>
    </w:p>
    <w:p>
      <w:pPr>
        <w:pStyle w:val="T1"/>
        <w:rPr>
          <w:lang w:val="nl-NL"/>
        </w:rPr>
      </w:pPr>
      <w:r>
        <w:rPr>
          <w:lang w:val="nl-NL"/>
        </w:rPr>
      </w:r>
    </w:p>
    <w:p>
      <w:pPr>
        <w:pStyle w:val="T1"/>
        <w:rPr>
          <w:lang w:val="nl-NL"/>
        </w:rPr>
      </w:pPr>
      <w:r>
        <w:rPr>
          <w:lang w:val="nl-NL"/>
        </w:rPr>
        <w:t>1966</w:t>
      </w:r>
    </w:p>
    <w:p>
      <w:pPr>
        <w:pStyle w:val="T1"/>
        <w:numPr>
          <w:ilvl w:val="0"/>
          <w:numId w:val="2"/>
        </w:numPr>
        <w:rPr>
          <w:lang w:val="nl-NL"/>
        </w:rPr>
      </w:pPr>
      <w:r>
        <w:rPr>
          <w:lang w:val="nl-NL"/>
        </w:rPr>
        <w:t>orgel hersteld na waterschade</w:t>
      </w:r>
    </w:p>
    <w:p>
      <w:pPr>
        <w:pStyle w:val="T1"/>
        <w:rPr>
          <w:lang w:val="nl-NL"/>
        </w:rPr>
      </w:pPr>
      <w:r>
        <w:rPr>
          <w:lang w:val="nl-NL"/>
        </w:rPr>
      </w:r>
    </w:p>
    <w:p>
      <w:pPr>
        <w:pStyle w:val="T1"/>
        <w:rPr>
          <w:lang w:val="nl-NL"/>
        </w:rPr>
      </w:pPr>
      <w:r>
        <w:rPr>
          <w:lang w:val="nl-NL"/>
        </w:rPr>
        <w:t>Flentrop Orgelbouw 1980</w:t>
      </w:r>
    </w:p>
    <w:p>
      <w:pPr>
        <w:pStyle w:val="T1"/>
        <w:numPr>
          <w:ilvl w:val="0"/>
          <w:numId w:val="2"/>
        </w:numPr>
        <w:rPr>
          <w:lang w:val="nl-NL"/>
        </w:rPr>
      </w:pPr>
      <w:r>
        <w:rPr>
          <w:lang w:val="nl-NL"/>
        </w:rPr>
        <w:t>orgel gerestaureerd en verplaatst van oksaal naar noordertransept</w:t>
      </w:r>
    </w:p>
    <w:p>
      <w:pPr>
        <w:pStyle w:val="T1"/>
        <w:numPr>
          <w:ilvl w:val="0"/>
          <w:numId w:val="2"/>
        </w:numPr>
        <w:rPr>
          <w:lang w:val="nl-NL"/>
        </w:rPr>
      </w:pPr>
      <w:r>
        <w:rPr>
          <w:lang w:val="nl-NL"/>
        </w:rPr>
        <w:t>ornamentiek kas deels vernieuwd</w:t>
      </w:r>
    </w:p>
    <w:p>
      <w:pPr>
        <w:pStyle w:val="T1"/>
        <w:numPr>
          <w:ilvl w:val="0"/>
          <w:numId w:val="2"/>
        </w:numPr>
        <w:rPr>
          <w:lang w:val="nl-NL"/>
        </w:rPr>
      </w:pPr>
      <w:r>
        <w:rPr>
          <w:lang w:val="nl-NL"/>
        </w:rPr>
        <w:t>windladen gerestaureerd; nieuwe pijproosters</w:t>
      </w:r>
    </w:p>
    <w:p>
      <w:pPr>
        <w:pStyle w:val="T1"/>
        <w:numPr>
          <w:ilvl w:val="0"/>
          <w:numId w:val="2"/>
        </w:numPr>
        <w:rPr>
          <w:lang w:val="nl-NL"/>
        </w:rPr>
      </w:pPr>
      <w:r>
        <w:rPr>
          <w:lang w:val="nl-NL"/>
        </w:rPr>
        <w:t>Trompet 8' vervangen</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nevenwerk, pedaal</w:t>
      </w:r>
    </w:p>
    <w:p>
      <w:pPr>
        <w:pStyle w:val="T1"/>
        <w:rPr>
          <w:lang w:val="nl-NL"/>
        </w:rPr>
      </w:pPr>
      <w:r>
        <w:rPr>
          <w:lang w:val="nl-NL"/>
        </w:rPr>
      </w:r>
    </w:p>
    <w:p>
      <w:pPr>
        <w:pStyle w:val="T1"/>
        <w:rPr/>
      </w:pPr>
      <w:r>
        <w:rPr/>
        <w:t xml:space="preserve">Dispositie </w:t>
      </w:r>
    </w:p>
    <w:tbl>
      <w:tblPr>
        <w:tblW w:w="6948" w:type="dxa"/>
        <w:jc w:val="start"/>
        <w:tblInd w:w="-108" w:type="dxa"/>
        <w:tblLayout w:type="fixed"/>
        <w:tblCellMar>
          <w:top w:w="0" w:type="dxa"/>
          <w:start w:w="108" w:type="dxa"/>
          <w:bottom w:w="0" w:type="dxa"/>
          <w:end w:w="108" w:type="dxa"/>
        </w:tblCellMar>
      </w:tblPr>
      <w:tblGrid>
        <w:gridCol w:w="1728"/>
        <w:gridCol w:w="720"/>
        <w:gridCol w:w="1620"/>
        <w:gridCol w:w="900"/>
        <w:gridCol w:w="1134"/>
        <w:gridCol w:w="846"/>
      </w:tblGrid>
      <w:tr>
        <w:trPr/>
        <w:tc>
          <w:tcPr>
            <w:tcW w:w="1728"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Mixtur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Violon</w:t>
            </w:r>
          </w:p>
          <w:p>
            <w:pPr>
              <w:pStyle w:val="T4dispositie"/>
              <w:rPr>
                <w:lang w:val="nl-NL"/>
              </w:rPr>
            </w:pPr>
            <w:r>
              <w:rPr>
                <w:lang w:val="nl-NL"/>
              </w:rPr>
              <w:t>Flûte Octaviante</w:t>
            </w:r>
          </w:p>
          <w:p>
            <w:pPr>
              <w:pStyle w:val="T4dispositie"/>
              <w:rPr>
                <w:lang w:val="nl-NL"/>
              </w:rPr>
            </w:pPr>
            <w:r>
              <w:rPr>
                <w:lang w:val="nl-NL"/>
              </w:rPr>
              <w:t>Quint</w:t>
            </w:r>
          </w:p>
          <w:p>
            <w:pPr>
              <w:pStyle w:val="T4dispositie"/>
              <w:rPr>
                <w:lang w:val="nl-NL"/>
              </w:rPr>
            </w:pPr>
            <w:r>
              <w:rPr>
                <w:lang w:val="nl-NL"/>
              </w:rPr>
              <w:t>Tertz</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1 3/5'</w:t>
            </w:r>
          </w:p>
        </w:tc>
        <w:tc>
          <w:tcPr>
            <w:tcW w:w="1134"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84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HW-NW, Ped-HW, Ped-NW</w:t>
      </w:r>
    </w:p>
    <w:p>
      <w:pPr>
        <w:pStyle w:val="T1"/>
        <w:rPr>
          <w:lang w:val="nl-NL"/>
        </w:rPr>
      </w:pPr>
      <w:r>
        <w:rPr>
          <w:lang w:val="nl-NL"/>
        </w:rPr>
        <w:t>tremolo NW (buiten gebruik)</w:t>
      </w:r>
    </w:p>
    <w:p>
      <w:pPr>
        <w:pStyle w:val="T1"/>
        <w:rPr>
          <w:lang w:val="nl-NL"/>
        </w:rPr>
      </w:pPr>
      <w:r>
        <w:rPr>
          <w:lang w:val="nl-NL"/>
        </w:rPr>
      </w:r>
    </w:p>
    <w:p>
      <w:pPr>
        <w:pStyle w:val="T1"/>
        <w:rPr>
          <w:lang w:val="nl-NL"/>
        </w:rPr>
      </w:pPr>
      <w:r>
        <w:rPr>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18"/>
        <w:gridCol w:w="729"/>
        <w:gridCol w:w="718"/>
      </w:tblGrid>
      <w:tr>
        <w:trPr/>
        <w:tc>
          <w:tcPr>
            <w:tcW w:w="1023" w:type="dxa"/>
            <w:tcBorders/>
          </w:tcPr>
          <w:p>
            <w:pPr>
              <w:pStyle w:val="T1"/>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magazijnbalg met twee schepbalgen (1897)</w:t>
      </w:r>
    </w:p>
    <w:p>
      <w:pPr>
        <w:pStyle w:val="T1"/>
        <w:rPr>
          <w:lang w:val="nl-NL"/>
        </w:rPr>
      </w:pPr>
      <w:r>
        <w:rPr>
          <w:lang w:val="nl-NL"/>
        </w:rPr>
        <w:t>Winddruk</w:t>
      </w:r>
    </w:p>
    <w:p>
      <w:pPr>
        <w:pStyle w:val="T1"/>
        <w:rPr>
          <w:lang w:val="nl-NL"/>
        </w:rPr>
      </w:pPr>
      <w:r>
        <w:rPr>
          <w:lang w:val="nl-NL"/>
        </w:rPr>
        <w:t>80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orgel werd namens de Weduwe L. Ypma gemaakt door J. Vermeulen. Orgelkas en magazijnbalg werden volgens bestek van 20 juni 1896 reeds voorbereid op de aanleg van een tweeklaviers instrument. In de linkerzijwand van de onderkas is de plaats van de oorspronkelijke klaviatuur nog aanwijsbaar.</w:t>
      </w:r>
    </w:p>
    <w:p>
      <w:pPr>
        <w:pStyle w:val="T1"/>
        <w:jc w:val="start"/>
        <w:rPr>
          <w:lang w:val="nl-NL"/>
        </w:rPr>
      </w:pPr>
      <w:r>
        <w:rPr>
          <w:lang w:val="nl-NL"/>
        </w:rPr>
        <w:t>De magazijnbalg met twee schepbalgen bevindt zich in de onderkas; een basculetrede is niet meer aanwezig.</w:t>
      </w:r>
    </w:p>
    <w:p>
      <w:pPr>
        <w:pStyle w:val="T1"/>
        <w:jc w:val="start"/>
        <w:rPr>
          <w:lang w:val="nl-NL"/>
        </w:rPr>
      </w:pPr>
      <w:r>
        <w:rPr>
          <w:lang w:val="nl-NL"/>
        </w:rPr>
        <w:t>De registertrekkers bevinden zich in verticale rijen aan weerszijden van de klaviatuur, links HW en pedaalkoppelingen, rechts NW, Ped en manuaalkoppeling. De namen zijn op porseleinen schildjes op de knoppen aangebracht. De toets- en registermechanieken van 1942 zijn op klassieke wijze aangelegd met onder meer verticale walsramen onder beide windladen.</w:t>
      </w:r>
    </w:p>
    <w:p>
      <w:pPr>
        <w:pStyle w:val="T1"/>
        <w:jc w:val="start"/>
        <w:rPr>
          <w:lang w:val="nl-NL"/>
        </w:rPr>
      </w:pPr>
      <w:r>
        <w:rPr>
          <w:lang w:val="nl-NL"/>
        </w:rPr>
        <w:t>Hoewel de offerte van P.C. Bik van 1942 enkel spreekt van een nieuwe lade voor het tweede manuaal stamt ook de huidige HW-lade mogelijk uit dat jaar, waarschijnlijk echter met gebruikmaking van oude onderdelen. De manuaalladen bevinden zich, gescheiden door een stemgang, achter elkaar in de bovenkas. Ze zijn beide ingedeeld in hele tonen vanuit het midden aflopend met de C-zijde rechts. Volgens offerte van 1942 zou de Subbas 16' als transmissie van de Bourdon 16' worden aangelegd. Thans zijn een afzonderlijke C- en Cislade met eigen pijpen zonder slepen aangebracht langs de zijwanden met de C-lade rechts.</w:t>
      </w:r>
    </w:p>
    <w:p>
      <w:pPr>
        <w:pStyle w:val="T1"/>
        <w:jc w:val="start"/>
        <w:rPr/>
      </w:pPr>
      <w:r>
        <w:rPr>
          <w:lang w:val="nl-NL"/>
        </w:rPr>
        <w:t>In het front spreken C-A (zijvelden), B-d (middenveld) en dis-h (tussenvelden) van de Prestant 8', vijf pijpen in de tussenvelden zijn loos. C-h van de Bourdon 16' en C-H van de Bourdon 8' zijn van grenen, C-Cis en E-F van de Bourdon 16' zijn gekropt. C-F van de Violon 8' zijn gecombineerd met de Bourdon 8'; Fis-H staan afgevoerd achter de lade. De Flûte Octaviante 4' is in feite een roerfluit, fis</w:t>
      </w:r>
      <w:r>
        <w:rPr>
          <w:vertAlign w:val="superscript"/>
          <w:lang w:val="nl-NL"/>
        </w:rPr>
        <w:t>2</w:t>
      </w:r>
      <w:r>
        <w:rPr>
          <w:lang w:val="nl-NL"/>
        </w:rPr>
        <w:t>-f</w:t>
      </w:r>
      <w:r>
        <w:rPr>
          <w:vertAlign w:val="superscript"/>
          <w:lang w:val="nl-NL"/>
        </w:rPr>
        <w:t>3</w:t>
      </w:r>
      <w:r>
        <w:rPr>
          <w:lang w:val="nl-NL"/>
        </w:rPr>
        <w:t xml:space="preserve"> zijn conisch, open met zijbaarden.</w:t>
      </w:r>
    </w:p>
    <w:p>
      <w:pPr>
        <w:pStyle w:val="T1"/>
        <w:jc w:val="start"/>
        <w:rPr/>
      </w:pPr>
      <w:r>
        <w:rPr>
          <w:lang w:val="nl-NL"/>
        </w:rPr>
        <w:t>Expressions zijn bij de registers van 1897 aanwezig bij de Violon 8' (Fis-f</w:t>
      </w:r>
      <w:r>
        <w:rPr>
          <w:vertAlign w:val="superscript"/>
          <w:lang w:val="nl-NL"/>
        </w:rPr>
        <w:t>3</w:t>
      </w:r>
      <w:r>
        <w:rPr>
          <w:lang w:val="nl-NL"/>
        </w:rPr>
        <w:t>) en bij de prestantregisters tot 1/2-voets lengte. De Violon 8', de gedekte metalen pijpen, C-H van de Octaaf 4' en C-E van de Quint 2 2/3' hebben zijbaarden. De Tertz 1 3/5' (C-g stemkrullen, C-f zijbaarden) stamt waarschijnlijk uit 1942, maar wordt niet genoemd in de offerte van dat jaar.</w:t>
      </w:r>
    </w:p>
    <w:p>
      <w:pPr>
        <w:pStyle w:val="T1"/>
        <w:jc w:val="start"/>
        <w:rPr/>
      </w:pPr>
      <w:r>
        <w:rPr>
          <w:lang w:val="nl-NL"/>
        </w:rPr>
        <w:t>De Trompet 8' (1980) heeft metalen koppen en stevels. C-h van de Subbas 16' zijn van grenen met eiken voorslagen, c</w:t>
      </w:r>
      <w:r>
        <w:rPr>
          <w:vertAlign w:val="superscript"/>
          <w:lang w:val="nl-NL"/>
        </w:rPr>
        <w:t>1</w:t>
      </w:r>
      <w:r>
        <w:rPr>
          <w:lang w:val="nl-NL"/>
        </w:rPr>
        <w:t>-d</w:t>
      </w:r>
      <w:r>
        <w:rPr>
          <w:vertAlign w:val="superscript"/>
          <w:lang w:val="nl-NL"/>
        </w:rPr>
        <w:t>1</w:t>
      </w:r>
      <w:r>
        <w:rPr>
          <w:lang w:val="nl-NL"/>
        </w:rPr>
        <w:t xml:space="preserve"> zijn van een afwijkende makelij, e-d</w:t>
      </w:r>
      <w:r>
        <w:rPr>
          <w:vertAlign w:val="superscript"/>
          <w:lang w:val="nl-NL"/>
        </w:rPr>
        <w:t>1</w:t>
      </w:r>
      <w:r>
        <w:rPr>
          <w:lang w:val="nl-NL"/>
        </w:rPr>
        <w:t xml:space="preserve"> staan op verhoogde pijpstokken.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2008-05-05T13:24:00Z</dcterms:created>
  <dc:creator>WS1</dc:creator>
  <dc:description/>
  <dc:language>en-US</dc:language>
  <cp:lastModifiedBy>NIvO</cp:lastModifiedBy>
  <cp:lastPrinted>2007-06-07T11:02:00Z</cp:lastPrinted>
  <dcterms:modified xsi:type="dcterms:W3CDTF">2008-05-05T13:24:00Z</dcterms:modified>
  <cp:revision>2</cp:revision>
  <dc:subject/>
  <dc:title>Lunteren/ca 1845</dc:title>
</cp:coreProperties>
</file>