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Oosterwierum (Easterwierrum) / 1897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rPr>
          <w:rFonts w:ascii="Times New Roman" w:hAnsi="Times New Roman" w:cs="Times New Roman"/>
          <w:i/>
          <w:i/>
        </w:rPr>
      </w:pPr>
      <w:r>
        <w:rPr>
          <w:rFonts w:cs="Times New Roman" w:ascii="Times New Roman" w:hAnsi="Times New Roman"/>
          <w:i/>
        </w:rPr>
        <w:t>Recht gesloten zaalkerk uit 1902, gebouwd ter vervanging van de elders gelegen oude kerk die in 1905 werd afgebroken maar waarvan de toren uit de 13e of 14e eeuw bleef staan.</w:t>
      </w:r>
    </w:p>
    <w:p>
      <w:pPr>
        <w:pStyle w:val="T1"/>
        <w:jc w:val="start"/>
        <w:rPr>
          <w:i/>
          <w:i/>
          <w:lang w:val="nl-NL"/>
        </w:rPr>
      </w:pPr>
      <w:r>
        <w:rPr>
          <w:i/>
          <w:lang w:val="nl-NL"/>
        </w:rPr>
        <w:t>De nieuwgebouwde kerk werd in 1911 van een toren met ingesnoerde spits voorzien. In het interieur een kansel en enig meubilair uit de voormalige kerk.</w:t>
      </w:r>
    </w:p>
    <w:p>
      <w:pPr>
        <w:pStyle w:val="T1"/>
        <w:jc w:val="start"/>
        <w:rPr>
          <w:i/>
          <w:i/>
          <w:lang w:val="nl-NL"/>
        </w:rPr>
      </w:pPr>
      <w:r>
        <w:rPr>
          <w:i/>
          <w:lang w:val="nl-NL"/>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Bij dit front is het ontwerp van Wouterswoude (1894) tot grotere afmetingen gebracht door de Prestant 8</w:t>
      </w:r>
      <w:r>
        <w:rPr>
          <w:rFonts w:cs="Times New Roman" w:ascii="Times New Roman" w:hAnsi="Times New Roman"/>
          <w:lang w:val="nl-NL"/>
        </w:rPr>
        <w:t>'</w:t>
      </w:r>
      <w:r>
        <w:rPr>
          <w:lang w:val="nl-NL"/>
        </w:rPr>
        <w:t xml:space="preserve"> vanaf C in het front te plaatsen en de tussenvelden van acht in plaats van zes pijpen te voorzien. Hierdoor werd het mogelijk het orgel van een volledige Bourdon 16</w:t>
      </w:r>
      <w:r>
        <w:rPr>
          <w:rFonts w:cs="Times New Roman" w:ascii="Times New Roman" w:hAnsi="Times New Roman"/>
          <w:lang w:val="nl-NL"/>
        </w:rPr>
        <w:t>'</w:t>
      </w:r>
      <w:r>
        <w:rPr>
          <w:lang w:val="nl-NL"/>
        </w:rPr>
        <w:t xml:space="preserve"> te voorzien.</w:t>
      </w:r>
    </w:p>
    <w:p>
      <w:pPr>
        <w:pStyle w:val="T2Kunst"/>
        <w:jc w:val="start"/>
        <w:rPr/>
      </w:pPr>
      <w:r>
        <w:rPr>
          <w:lang w:val="nl-NL"/>
        </w:rPr>
        <w:t xml:space="preserve">De uitvoering is zoals steeds bij deze frontenreeks, met vlakke tussenvelden. Onder de torens </w:t>
      </w:r>
      <w:r>
        <w:rPr>
          <w:i/>
          <w:iCs/>
          <w:lang w:val="nl-NL"/>
        </w:rPr>
        <w:t>culs-de-lampe</w:t>
      </w:r>
      <w:r>
        <w:rPr>
          <w:lang w:val="nl-NL"/>
        </w:rPr>
        <w:t xml:space="preserve"> die uit omgekruld blad bestaan. Bij de pijpvoeten is geen ornamentiek aangebracht.</w:t>
      </w:r>
    </w:p>
    <w:p>
      <w:pPr>
        <w:pStyle w:val="T2Kunst"/>
        <w:jc w:val="start"/>
        <w:rPr>
          <w:lang w:val="nl-NL"/>
        </w:rPr>
      </w:pPr>
      <w:r>
        <w:rPr>
          <w:lang w:val="nl-NL"/>
        </w:rPr>
        <w:t>De blinderingen zijn uit voluutvormen en plantaardige motieven samengesteld. De compositie is steeds symmetrisch, bij de torens vanuit een centraal geplaatst koppelmotiefje. Tegen de afsluitende lijst boven de bovenste tussenvelden is op speelse wijze met gekoppelde voluten gewerkt. De lijst zelf heeft rond de afsluitende krul bovenaan nog een klein ornamentje gekregen, ook weer een speels accent, frequent voorkomend bij dit fronttype.</w:t>
      </w:r>
    </w:p>
    <w:p>
      <w:pPr>
        <w:pStyle w:val="T2Kunst"/>
        <w:jc w:val="start"/>
        <w:rPr>
          <w:lang w:val="nl-NL"/>
        </w:rPr>
      </w:pPr>
      <w:r>
        <w:rPr>
          <w:lang w:val="nl-NL"/>
        </w:rPr>
        <w:t>De opzetstukken zijn transparant en tegelijkertijd virtuoos van opzet. Voluten vormen bij de opzetstukken van de zijtorens het kader, waarbinnen blad en bloem voor opvulling zorgen. Bij het opzetstuk op de middentoren vindt een soortgelijk spel plaats, alleen zijn hier in het midden ruggelings gekoppelde voluten (in feite dubbele voluten, uit de kleine ontspringt als het ware een grotere) aangebracht, waarop de bekronende lier rust.</w:t>
      </w:r>
    </w:p>
    <w:p>
      <w:pPr>
        <w:pStyle w:val="T2Kunst"/>
        <w:jc w:val="start"/>
        <w:rPr>
          <w:lang w:val="nl-NL"/>
        </w:rPr>
      </w:pPr>
      <w:r>
        <w:rPr>
          <w:lang w:val="nl-NL"/>
        </w:rPr>
        <w:t>De vleugelstukken bestaan uit een samenstel van langgerekte grote en kleinere voluten met in het hart een wijnrank met druiven en een vogeltje, en aan de beide uiteinden ander gebladerte</w:t>
      </w:r>
    </w:p>
    <w:p>
      <w:pPr>
        <w:pStyle w:val="T2Kunst"/>
        <w:jc w:val="start"/>
        <w:rPr>
          <w:lang w:val="nl-NL"/>
        </w:rPr>
      </w:pPr>
      <w:r>
        <w:rPr>
          <w:lang w:val="nl-NL"/>
        </w:rPr>
        <w:t>Het front vormt een harmonieuze eenheid met de peiwand eronder, waarvan het hoofdgestel een kleine verspringing vertoont ter hoogte van de dubbele pilasters.</w:t>
      </w:r>
    </w:p>
    <w:p>
      <w:pPr>
        <w:pStyle w:val="T1"/>
        <w:jc w:val="start"/>
        <w:rPr>
          <w:lang w:val="nl-NL"/>
        </w:rPr>
      </w:pPr>
      <w:r>
        <w:rPr>
          <w:lang w:val="nl-NL"/>
        </w:rPr>
      </w:r>
    </w:p>
    <w:p>
      <w:pPr>
        <w:pStyle w:val="T3Lit"/>
        <w:jc w:val="start"/>
        <w:rPr>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184.</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Orgelnummer 1152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Oosterwierum, voormalige Hervormde Kerk</w:t>
      </w:r>
    </w:p>
    <w:p>
      <w:pPr>
        <w:pStyle w:val="T1"/>
        <w:jc w:val="start"/>
        <w:rPr>
          <w:lang w:val="nl-NL"/>
        </w:rPr>
      </w:pPr>
      <w:r>
        <w:rPr>
          <w:lang w:val="nl-NL"/>
        </w:rPr>
      </w:r>
    </w:p>
    <w:p>
      <w:pPr>
        <w:pStyle w:val="T1"/>
        <w:jc w:val="start"/>
        <w:rPr>
          <w:lang w:val="nl-NL"/>
        </w:rPr>
      </w:pPr>
      <w:r>
        <w:rPr>
          <w:lang w:val="nl-NL"/>
        </w:rPr>
        <w:t>Bakker en Timmenga 1902</w:t>
      </w:r>
    </w:p>
    <w:p>
      <w:pPr>
        <w:pStyle w:val="T1"/>
        <w:numPr>
          <w:ilvl w:val="0"/>
          <w:numId w:val="2"/>
        </w:numPr>
        <w:jc w:val="start"/>
        <w:rPr>
          <w:lang w:val="nl-NL"/>
        </w:rPr>
      </w:pPr>
      <w:r>
        <w:rPr>
          <w:lang w:val="nl-NL"/>
        </w:rPr>
        <w:t>orgel overgeplaatst naar huidige kerkgebouw</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40" w:type="dxa"/>
        <w:jc w:val="start"/>
        <w:tblInd w:w="-70" w:type="dxa"/>
        <w:tblLayout w:type="fixed"/>
        <w:tblCellMar>
          <w:top w:w="0" w:type="dxa"/>
          <w:start w:w="70" w:type="dxa"/>
          <w:bottom w:w="0" w:type="dxa"/>
          <w:end w:w="70" w:type="dxa"/>
        </w:tblCellMar>
      </w:tblPr>
      <w:tblGrid>
        <w:gridCol w:w="1510"/>
        <w:gridCol w:w="530"/>
      </w:tblGrid>
      <w:tr>
        <w:trPr/>
        <w:tc>
          <w:tcPr>
            <w:tcW w:w="1510"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w:t>
            </w:r>
          </w:p>
        </w:tc>
        <w:tc>
          <w:tcPr>
            <w:tcW w:w="53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gereserveerd</w:t>
      </w:r>
    </w:p>
    <w:p>
      <w:pPr>
        <w:pStyle w:val="T1"/>
        <w:rPr>
          <w:lang w:val="nl-NL"/>
        </w:rPr>
      </w:pPr>
      <w:r>
        <w:rPr>
          <w:lang w:val="nl-NL"/>
        </w:rPr>
      </w:r>
    </w:p>
    <w:p>
      <w:pPr>
        <w:pStyle w:val="T1"/>
        <w:rPr>
          <w:lang w:val="nl-NL"/>
        </w:rPr>
      </w:pPr>
      <w:r>
        <w:rPr>
          <w:lang w:val="nl-NL"/>
        </w:rPr>
        <w:t>Werktuiglijk register</w:t>
      </w:r>
    </w:p>
    <w:p>
      <w:pPr>
        <w:pStyle w:val="T1"/>
        <w:rPr>
          <w:lang w:val="nl-NL"/>
        </w:rPr>
      </w:pPr>
      <w:r>
        <w:rPr>
          <w:lang w:val="nl-NL"/>
        </w:rPr>
        <w:t>ventiel</w:t>
      </w:r>
    </w:p>
    <w:p>
      <w:pPr>
        <w:pStyle w:val="T1"/>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szCs w:val="24"/>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(1897)</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d en dis.</w:t>
      </w:r>
    </w:p>
    <w:p>
      <w:pPr>
        <w:pStyle w:val="T1"/>
        <w:jc w:val="start"/>
        <w:rPr>
          <w:lang w:val="nl-NL"/>
        </w:rPr>
      </w:pPr>
      <w:r>
        <w:rPr>
          <w:lang w:val="nl-NL"/>
        </w:rPr>
        <w:t>Frontpijpen van Engels tin. De Prestant 8' spreekt in de drie torens, voorts zijn in de ondervelden aan beide zijden vier pijpen sprekend.</w:t>
      </w:r>
    </w:p>
    <w:p>
      <w:pPr>
        <w:pStyle w:val="T1"/>
        <w:jc w:val="start"/>
        <w:rPr>
          <w:lang w:val="nl-NL"/>
        </w:rPr>
      </w:pPr>
      <w:r>
        <w:rPr>
          <w:lang w:val="nl-NL"/>
        </w:rPr>
        <w:t>Het handklavier is een eiken staartklavier. Het beleg op de ondertoetsen is van celluloid.</w:t>
      </w:r>
    </w:p>
    <w:p>
      <w:pPr>
        <w:pStyle w:val="T1"/>
        <w:jc w:val="start"/>
        <w:rPr>
          <w:lang w:val="nl-NL"/>
        </w:rPr>
      </w:pPr>
      <w:r>
        <w:rPr>
          <w:lang w:val="nl-NL"/>
        </w:rPr>
        <w:t>De registerknoppen zijn boven de lessenaar geplaatst, behalve de knop van het Ventiel, die zich rechts naast het klavier bevindt. De knoppen hebben witte porseleinen naamplaatjes.</w:t>
      </w:r>
    </w:p>
    <w:p>
      <w:pPr>
        <w:pStyle w:val="T1"/>
        <w:jc w:val="start"/>
        <w:rPr>
          <w:lang w:val="nl-NL"/>
        </w:rPr>
      </w:pPr>
      <w:r>
        <w:rPr>
          <w:lang w:val="nl-NL"/>
        </w:rPr>
        <w:t>Opmerkelijk is dat de knoppen boven de lessenaar door een eiken registerbord met afgeronde buitenkanten worden omlijst. Het eiken pedaalklavier heeft boventoetsen van een gelijke, korte lengtemaat.</w:t>
      </w:r>
    </w:p>
    <w:p>
      <w:pPr>
        <w:pStyle w:val="T1"/>
        <w:jc w:val="start"/>
        <w:rPr>
          <w:lang w:val="nl-NL"/>
        </w:rPr>
      </w:pPr>
      <w:r>
        <w:rPr>
          <w:lang w:val="nl-NL"/>
        </w:rPr>
        <w:t>Het windtoestel is onder in de kas geplaatst. De pompboom is in klampen tegen de buitenzijde van de achterwand aangebracht.</w:t>
      </w:r>
    </w:p>
    <w:p>
      <w:pPr>
        <w:pStyle w:val="T1"/>
        <w:jc w:val="start"/>
        <w:rPr/>
      </w:pPr>
      <w:r>
        <w:rPr>
          <w:lang w:val="nl-NL"/>
        </w:rPr>
        <w:t>De windlade is van eiken, de stokken zijn van mahonie. De ventielkast heeft drie opliggende voorslagen. De cancelvolgorde is: fis d B Gis c e gis / e</w:t>
      </w:r>
      <w:r>
        <w:rPr>
          <w:vertAlign w:val="superscript"/>
          <w:lang w:val="nl-NL"/>
        </w:rPr>
        <w:t>3</w:t>
      </w:r>
      <w:r>
        <w:rPr>
          <w:lang w:val="nl-NL"/>
        </w:rPr>
        <w:t>-b / Fis E D C Cis Dis F / a-f</w:t>
      </w:r>
      <w:r>
        <w:rPr>
          <w:vertAlign w:val="superscript"/>
          <w:lang w:val="nl-NL"/>
        </w:rPr>
        <w:t>3</w:t>
      </w:r>
      <w:r>
        <w:rPr>
          <w:lang w:val="nl-NL"/>
        </w:rPr>
        <w:t xml:space="preserve"> / g dis H G A cis f (f aan klavierzijde).</w:t>
      </w:r>
    </w:p>
    <w:p>
      <w:pPr>
        <w:pStyle w:val="T1"/>
        <w:jc w:val="start"/>
        <w:rPr>
          <w:lang w:val="nl-NL"/>
        </w:rPr>
      </w:pPr>
      <w:r>
        <w:rPr>
          <w:lang w:val="nl-NL"/>
        </w:rPr>
        <w:t>De gereserveerde plaats voor de Trompet is technisch voorbereid: sleep, stok en registermechaniek zijn aanwezig. Onder de lade een eiken walsraam met grenen walsen.</w:t>
      </w:r>
    </w:p>
    <w:p>
      <w:pPr>
        <w:pStyle w:val="T1"/>
        <w:jc w:val="start"/>
        <w:rPr/>
      </w:pPr>
      <w:r>
        <w:rPr>
          <w:lang w:val="nl-NL"/>
        </w:rPr>
        <w:t>Van de Prestant 8' spreken C-e</w:t>
      </w:r>
      <w:r>
        <w:rPr>
          <w:vertAlign w:val="superscript"/>
          <w:lang w:val="nl-NL"/>
        </w:rPr>
        <w:t>1</w:t>
      </w:r>
      <w:r>
        <w:rPr>
          <w:lang w:val="nl-NL"/>
        </w:rPr>
        <w:t xml:space="preserve"> in het front. Eiken pijpen zijn toegepast bij de Bourdon 16' (C-h, waarvan C-Gis op een separaat lade tegen de zijwand, mechanisch met het walsraam verbonden) en bij de Holpijp 8' (C-H). De Viola di Gamba is van C-H gecombineerd met de Holpijp. De Fluit 4' is gedekt, het hoogste octaaf heeft conische pijpen. Het vier-voets koor van de Cornet heeft gedekte pijpen voor c</w:t>
      </w:r>
      <w:r>
        <w:rPr>
          <w:vertAlign w:val="superscript"/>
          <w:lang w:val="nl-NL"/>
        </w:rPr>
        <w:t>1</w:t>
      </w:r>
      <w:r>
        <w:rPr>
          <w:lang w:val="nl-NL"/>
        </w:rPr>
        <w:t>-h</w:t>
      </w:r>
      <w:r>
        <w:rPr>
          <w:vertAlign w:val="superscript"/>
          <w:lang w:val="nl-NL"/>
        </w:rPr>
        <w:t>1</w:t>
      </w:r>
      <w:r>
        <w:rPr>
          <w:lang w:val="nl-NL"/>
        </w:rPr>
        <w:t>.</w:t>
      </w:r>
    </w:p>
    <w:p>
      <w:pPr>
        <w:pStyle w:val="T1"/>
        <w:jc w:val="start"/>
        <w:rPr/>
      </w:pPr>
      <w:r>
        <w:rPr>
          <w:lang w:val="nl-NL"/>
        </w:rPr>
        <w:t>Alle metalen binnenpijpen zijn voorzien van spits geritste bovenlabia. Expressions zijn toegepast bij alle pijpen van de Prestant, bij de Viola di Gamba tot en met h</w:t>
      </w:r>
      <w:r>
        <w:rPr>
          <w:vertAlign w:val="superscript"/>
          <w:lang w:val="nl-NL"/>
        </w:rPr>
        <w:t>2</w:t>
      </w:r>
      <w:r>
        <w:rPr>
          <w:lang w:val="nl-NL"/>
        </w:rPr>
        <w:t>, bij de Octaaf 4' tot en met h</w:t>
      </w:r>
      <w:r>
        <w:rPr>
          <w:vertAlign w:val="superscript"/>
          <w:lang w:val="nl-NL"/>
        </w:rPr>
        <w:t>1</w:t>
      </w:r>
      <w:r>
        <w:rPr>
          <w:lang w:val="nl-NL"/>
        </w:rPr>
        <w:t>, bij de Octaaf 2' tot en met h, bij de Cornet c</w:t>
      </w:r>
      <w:r>
        <w:rPr>
          <w:vertAlign w:val="superscript"/>
          <w:lang w:val="nl-NL"/>
        </w:rPr>
        <w:t>2</w:t>
      </w:r>
      <w:r>
        <w:rPr>
          <w:lang w:val="nl-NL"/>
        </w:rPr>
        <w:t>-dis</w:t>
      </w:r>
      <w:r>
        <w:rPr>
          <w:vertAlign w:val="superscript"/>
          <w:lang w:val="nl-NL"/>
        </w:rPr>
        <w:t>2</w:t>
      </w:r>
      <w:r>
        <w:rPr>
          <w:lang w:val="nl-NL"/>
        </w:rPr>
        <w:t xml:space="preserve"> van het vier-voets koor en c</w:t>
      </w:r>
      <w:r>
        <w:rPr>
          <w:vertAlign w:val="superscript"/>
          <w:lang w:val="nl-NL"/>
        </w:rPr>
        <w:t>1</w:t>
      </w:r>
      <w:r>
        <w:rPr>
          <w:lang w:val="nl-NL"/>
        </w:rPr>
        <w:t>-gis</w:t>
      </w:r>
      <w:r>
        <w:rPr>
          <w:vertAlign w:val="superscript"/>
          <w:lang w:val="nl-NL"/>
        </w:rPr>
        <w:t>1</w:t>
      </w:r>
      <w:r>
        <w:rPr>
          <w:lang w:val="nl-NL"/>
        </w:rPr>
        <w:t xml:space="preserve"> van het 2 2/3-voets koor.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2008-05-05T13:25:00Z</dcterms:created>
  <dc:creator>WS1</dc:creator>
  <dc:description/>
  <dc:language>en-US</dc:language>
  <cp:lastModifiedBy>NIvO</cp:lastModifiedBy>
  <dcterms:modified xsi:type="dcterms:W3CDTF">2008-06-24T13:45:00Z</dcterms:modified>
  <cp:revision>3</cp:revision>
  <dc:subject/>
  <dc:title>Utrecht / 1880</dc:title>
</cp:coreProperties>
</file>