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Reuver / 1897</w:t>
      </w:r>
    </w:p>
    <w:p>
      <w:pPr>
        <w:pStyle w:val="Heading2"/>
        <w:rPr>
          <w:i w:val="false"/>
          <w:i w:val="false"/>
          <w:iCs/>
        </w:rPr>
      </w:pPr>
      <w:r>
        <w:rPr>
          <w:i w:val="false"/>
          <w:iCs/>
        </w:rPr>
        <w:t>Klooster zusters Dominicanessen</w:t>
      </w:r>
    </w:p>
    <w:p>
      <w:pPr>
        <w:pStyle w:val="T1"/>
        <w:jc w:val="start"/>
        <w:rPr>
          <w:i/>
          <w:i/>
          <w:iCs/>
          <w:lang w:val="nl-NL"/>
        </w:rPr>
      </w:pPr>
      <w:r>
        <w:rPr>
          <w:i/>
          <w:iCs/>
          <w:lang w:val="nl-NL"/>
        </w:rPr>
      </w:r>
    </w:p>
    <w:p>
      <w:pPr>
        <w:pStyle w:val="T1"/>
        <w:jc w:val="start"/>
        <w:rPr>
          <w:i/>
          <w:i/>
          <w:iCs/>
          <w:lang w:val="nl-NL"/>
        </w:rPr>
      </w:pPr>
      <w:r>
        <w:rPr>
          <w:i/>
          <w:iCs/>
          <w:lang w:val="nl-NL"/>
        </w:rPr>
        <w:t>Neogotische kapel gebouwd in 1891-1891 naar ontwerp van E. Corbey. Gebrandschilderde ramen van Joep Nicolas.</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3Lit"/>
        <w:jc w:val="start"/>
        <w:rPr/>
      </w:pPr>
      <w:r>
        <w:rPr>
          <w:sz w:val="24"/>
          <w:lang w:val="nl-NL"/>
        </w:rPr>
        <w:t xml:space="preserve">Een front van een destijds populair type, en dat qua stijl kon worden aangepast aan de wensen van de opdrachtgever. Bijzonder is dat ook de onderkas is versierd met traceerwerk en dat de verhoogde pijpstok van het middenveld is beschilderd, net zoals de bovenlijsten van de restruimte tussen de wimberg en de boog van het middenveld. De velden hebben ongeveer de zelfde breedte, met elk negen pijpen, waarbij het verloop van de labia van de zijvelden de vorm van de labiumlijn van het midden ondersteunt. De zijvelden doen echter breder aan dan dat ze zijn, waardoor ook het totaal nogal een sterke breedtewerking heeft wat op gespannen voet staat met de opwaartse drang die bij neogotiek hoort. </w:t>
      </w:r>
      <w:r>
        <w:rPr>
          <w:sz w:val="24"/>
        </w:rPr>
        <w:t xml:space="preserve">Het is het directe gevolg van de relatief brede tootboog die over de twee zijvelden is verdeeld, ter blindering van de pijpuiteinden. </w:t>
      </w:r>
      <w:r>
        <w:rPr>
          <w:sz w:val="24"/>
          <w:lang w:val="nl-NL"/>
        </w:rPr>
        <w:t xml:space="preserve">De boog van het midden lijkt hierdoor spits en smal en doet het middenveld als totaal smaller ogen dan het is. </w:t>
      </w:r>
      <w:r>
        <w:rPr>
          <w:sz w:val="24"/>
        </w:rPr>
        <w:t>Boven op de wimberg zien we nog een kanteellijst en een dubbele kruisbloem. Voorts een rij toten boven de zijvelden en pinakels op de hoeken van het lijstwerk.</w:t>
      </w:r>
    </w:p>
    <w:p>
      <w:pPr>
        <w:pStyle w:val="T1"/>
        <w:jc w:val="start"/>
        <w:rPr>
          <w:sz w:val="24"/>
          <w:lang w:val="nl-NL"/>
        </w:rPr>
      </w:pPr>
      <w:r>
        <w:rPr>
          <w:sz w:val="24"/>
          <w:lang w:val="nl-NL"/>
        </w:rPr>
      </w:r>
    </w:p>
    <w:p>
      <w:pPr>
        <w:pStyle w:val="T3Lit"/>
        <w:jc w:val="start"/>
        <w:rPr>
          <w:b/>
          <w:b/>
          <w:bCs/>
          <w:lang w:val="nl-NL"/>
        </w:rPr>
      </w:pPr>
      <w:r>
        <w:rPr>
          <w:b/>
          <w:bCs/>
          <w:lang w:val="nl-NL"/>
        </w:rPr>
        <w:t>Literatuur</w:t>
      </w:r>
    </w:p>
    <w:p>
      <w:pPr>
        <w:pStyle w:val="T3Lit"/>
        <w:jc w:val="start"/>
        <w:rPr/>
      </w:pPr>
      <w:r>
        <w:rPr>
          <w:lang w:val="nl-NL"/>
        </w:rPr>
        <w:t xml:space="preserve">Lex Lases (red), </w:t>
      </w:r>
      <w:r>
        <w:rPr>
          <w:i/>
          <w:iCs/>
          <w:lang w:val="nl-NL"/>
        </w:rPr>
        <w:t>Adema 150 jaar orgelbouw</w:t>
      </w:r>
      <w:r>
        <w:rPr>
          <w:lang w:val="nl-NL"/>
        </w:rPr>
        <w:t>. Hillegom, 2006, 63, 65.</w:t>
      </w:r>
    </w:p>
    <w:p>
      <w:pPr>
        <w:pStyle w:val="T3Lit"/>
        <w:jc w:val="start"/>
        <w:rPr/>
      </w:pPr>
      <w:r>
        <w:rPr>
          <w:i/>
          <w:iCs/>
          <w:lang w:val="nl-NL"/>
        </w:rPr>
        <w:t>Het Orgel</w:t>
      </w:r>
      <w:r>
        <w:rPr>
          <w:lang w:val="nl-NL"/>
        </w:rPr>
        <w:t>, 12/10 (1897), 50</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Amsterdam, St-Rosaklooster</w:t>
      </w:r>
    </w:p>
    <w:p>
      <w:pPr>
        <w:pStyle w:val="T1"/>
        <w:jc w:val="start"/>
        <w:rPr>
          <w:lang w:val="nl-NL"/>
        </w:rPr>
      </w:pPr>
      <w:r>
        <w:rPr>
          <w:lang w:val="nl-NL"/>
        </w:rPr>
      </w:r>
    </w:p>
    <w:p>
      <w:pPr>
        <w:pStyle w:val="T1"/>
        <w:jc w:val="start"/>
        <w:rPr>
          <w:lang w:val="nl-NL"/>
        </w:rPr>
      </w:pPr>
      <w:r>
        <w:rPr>
          <w:lang w:val="nl-NL"/>
        </w:rPr>
        <w:t xml:space="preserve">Dispositie 1897 volgens </w:t>
      </w:r>
      <w:r>
        <w:rPr>
          <w:i/>
          <w:iCs/>
          <w:lang w:val="nl-NL"/>
        </w:rPr>
        <w:t>Het Orgel</w:t>
      </w:r>
    </w:p>
    <w:tbl>
      <w:tblPr>
        <w:tblW w:w="2050" w:type="dxa"/>
        <w:jc w:val="start"/>
        <w:tblInd w:w="-70" w:type="dxa"/>
        <w:tblLayout w:type="fixed"/>
        <w:tblCellMar>
          <w:top w:w="0" w:type="dxa"/>
          <w:start w:w="70" w:type="dxa"/>
          <w:bottom w:w="0" w:type="dxa"/>
          <w:end w:w="70" w:type="dxa"/>
        </w:tblCellMar>
      </w:tblPr>
      <w:tblGrid>
        <w:gridCol w:w="1690"/>
        <w:gridCol w:w="360"/>
      </w:tblGrid>
      <w:tr>
        <w:trPr/>
        <w:tc>
          <w:tcPr>
            <w:tcW w:w="1690" w:type="dxa"/>
            <w:tcBorders/>
          </w:tcPr>
          <w:p>
            <w:pPr>
              <w:pStyle w:val="T4dispositie"/>
              <w:rPr>
                <w:i/>
                <w:i/>
                <w:iCs/>
                <w:lang w:val="fr-FR"/>
              </w:rPr>
            </w:pPr>
            <w:r>
              <w:rPr>
                <w:i/>
                <w:iCs/>
                <w:lang w:val="fr-FR"/>
              </w:rPr>
              <w:t>Manuaal</w:t>
            </w:r>
          </w:p>
          <w:p>
            <w:pPr>
              <w:pStyle w:val="T4dispositie"/>
              <w:rPr>
                <w:lang w:val="fr-FR"/>
              </w:rPr>
            </w:pPr>
            <w:r>
              <w:rPr>
                <w:lang w:val="fr-FR"/>
              </w:rPr>
              <w:t>Prestant*</w:t>
            </w:r>
          </w:p>
          <w:p>
            <w:pPr>
              <w:pStyle w:val="T4dispositie"/>
              <w:rPr>
                <w:lang w:val="fr-FR"/>
              </w:rPr>
            </w:pPr>
            <w:r>
              <w:rPr>
                <w:lang w:val="fr-FR"/>
              </w:rPr>
              <w:t>Bourdon</w:t>
            </w:r>
          </w:p>
          <w:p>
            <w:pPr>
              <w:pStyle w:val="T4dispositie"/>
              <w:rPr>
                <w:lang w:val="fr-FR"/>
              </w:rPr>
            </w:pPr>
            <w:r>
              <w:rPr>
                <w:lang w:val="fr-FR"/>
              </w:rPr>
              <w:t>Viola di Gamba</w:t>
            </w:r>
          </w:p>
          <w:p>
            <w:pPr>
              <w:pStyle w:val="T4dispositie"/>
              <w:rPr>
                <w:lang w:val="fr-FR"/>
              </w:rPr>
            </w:pPr>
            <w:r>
              <w:rPr>
                <w:lang w:val="fr-FR"/>
              </w:rPr>
              <w:t>Vox Caelestis</w:t>
            </w:r>
          </w:p>
          <w:p>
            <w:pPr>
              <w:pStyle w:val="T4dispositie"/>
              <w:rPr>
                <w:lang w:val="fr-FR"/>
              </w:rPr>
            </w:pPr>
            <w:r>
              <w:rPr>
                <w:lang w:val="fr-FR"/>
              </w:rPr>
              <w:t>Fluit Harmoniek*</w:t>
            </w:r>
          </w:p>
          <w:p>
            <w:pPr>
              <w:pStyle w:val="T4dispositie"/>
              <w:rPr>
                <w:lang w:val="fr-FR"/>
              </w:rPr>
            </w:pPr>
            <w:r>
              <w:rPr>
                <w:lang w:val="fr-FR"/>
              </w:rPr>
              <w:t>Salicionaal</w:t>
            </w:r>
          </w:p>
        </w:tc>
        <w:tc>
          <w:tcPr>
            <w:tcW w:w="360" w:type="dxa"/>
            <w:tcBorders/>
          </w:tcPr>
          <w:p>
            <w:pPr>
              <w:pStyle w:val="T4dispositie"/>
              <w:snapToGrid w:val="false"/>
              <w:rPr>
                <w:lang w:val="fr-FR"/>
              </w:rPr>
            </w:pPr>
            <w:r>
              <w:rPr>
                <w:lang w:val="fr-FR"/>
              </w:rPr>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tc>
      </w:tr>
    </w:tbl>
    <w:p>
      <w:pPr>
        <w:pStyle w:val="T4dispositie"/>
        <w:rPr/>
      </w:pPr>
      <w:r>
        <w:rPr/>
      </w:r>
    </w:p>
    <w:p>
      <w:pPr>
        <w:pStyle w:val="T4dispositie"/>
        <w:rPr/>
      </w:pPr>
      <w:r>
        <w:rPr/>
        <w:t>* combinatiestemmen</w:t>
      </w:r>
    </w:p>
    <w:p>
      <w:pPr>
        <w:pStyle w:val="T1"/>
        <w:jc w:val="start"/>
        <w:rPr>
          <w:lang w:val="fr-FR"/>
        </w:rPr>
      </w:pPr>
      <w:r>
        <w:rPr>
          <w:lang w:val="fr-FR"/>
        </w:rPr>
      </w:r>
    </w:p>
    <w:p>
      <w:pPr>
        <w:pStyle w:val="T1"/>
        <w:jc w:val="start"/>
        <w:rPr>
          <w:lang w:val="nl-NL"/>
        </w:rPr>
      </w:pPr>
      <w:r>
        <w:rPr>
          <w:lang w:val="nl-NL"/>
        </w:rPr>
        <w:t>Onbekend moment</w:t>
      </w:r>
    </w:p>
    <w:p>
      <w:pPr>
        <w:pStyle w:val="T1"/>
        <w:numPr>
          <w:ilvl w:val="0"/>
          <w:numId w:val="2"/>
        </w:numPr>
        <w:jc w:val="start"/>
        <w:rPr>
          <w:lang w:val="nl-NL"/>
        </w:rPr>
      </w:pPr>
      <w:r>
        <w:rPr>
          <w:lang w:val="nl-NL"/>
        </w:rPr>
        <w:t>orgel overgeplaatst naar Reuver, H. Hartklooster</w:t>
      </w:r>
    </w:p>
    <w:p>
      <w:pPr>
        <w:pStyle w:val="T1"/>
        <w:jc w:val="start"/>
        <w:rPr>
          <w:lang w:val="nl-NL"/>
        </w:rPr>
      </w:pPr>
      <w:r>
        <w:rPr>
          <w:lang w:val="nl-NL"/>
        </w:rPr>
        <w:t>.</w:t>
        <w:tab/>
        <w:t>vermoedelijk bij die gelegenheid - Fluit Harmoniek 8', + Roerfluit 4'</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rPr/>
      </w:pPr>
      <w:r>
        <w:rPr/>
        <w:t>Dispositie</w:t>
      </w:r>
    </w:p>
    <w:tbl>
      <w:tblPr>
        <w:tblW w:w="1819" w:type="dxa"/>
        <w:jc w:val="start"/>
        <w:tblInd w:w="-70" w:type="dxa"/>
        <w:tblLayout w:type="fixed"/>
        <w:tblCellMar>
          <w:top w:w="0" w:type="dxa"/>
          <w:start w:w="70" w:type="dxa"/>
          <w:bottom w:w="0" w:type="dxa"/>
          <w:end w:w="70" w:type="dxa"/>
        </w:tblCellMar>
      </w:tblPr>
      <w:tblGrid>
        <w:gridCol w:w="1444"/>
        <w:gridCol w:w="375"/>
      </w:tblGrid>
      <w:tr>
        <w:trPr/>
        <w:tc>
          <w:tcPr>
            <w:tcW w:w="1444" w:type="dxa"/>
            <w:tcBorders/>
          </w:tcPr>
          <w:p>
            <w:pPr>
              <w:pStyle w:val="T4dispositie"/>
              <w:rPr>
                <w:i/>
                <w:i/>
                <w:iCs/>
              </w:rPr>
            </w:pPr>
            <w:r>
              <w:rPr>
                <w:i/>
                <w:iCs/>
              </w:rPr>
              <w:t>Manuaal</w:t>
            </w:r>
          </w:p>
          <w:p>
            <w:pPr>
              <w:pStyle w:val="T4dispositie"/>
              <w:rPr/>
            </w:pPr>
            <w:r>
              <w:rPr/>
              <w:t>6 stemmen</w:t>
            </w:r>
          </w:p>
          <w:p>
            <w:pPr>
              <w:pStyle w:val="T4dispositie"/>
              <w:rPr/>
            </w:pPr>
            <w:r>
              <w:rPr/>
            </w:r>
          </w:p>
          <w:p>
            <w:pPr>
              <w:pStyle w:val="T4dispositie"/>
              <w:rPr/>
            </w:pPr>
            <w:r>
              <w:rPr/>
              <w:t>Prestant</w:t>
            </w:r>
          </w:p>
          <w:p>
            <w:pPr>
              <w:pStyle w:val="T4dispositie"/>
              <w:rPr/>
            </w:pPr>
            <w:r>
              <w:rPr/>
              <w:t>Bourdon</w:t>
            </w:r>
          </w:p>
          <w:p>
            <w:pPr>
              <w:pStyle w:val="T4dispositie"/>
              <w:rPr/>
            </w:pPr>
            <w:r>
              <w:rPr/>
              <w:t>Viola</w:t>
            </w:r>
          </w:p>
          <w:p>
            <w:pPr>
              <w:pStyle w:val="T4dispositie"/>
              <w:rPr/>
            </w:pPr>
            <w:r>
              <w:rPr/>
              <w:t>Vox Celestis</w:t>
            </w:r>
          </w:p>
          <w:p>
            <w:pPr>
              <w:pStyle w:val="T4dispositie"/>
              <w:rPr/>
            </w:pPr>
            <w:r>
              <w:rPr/>
              <w:t>Roerfluit</w:t>
            </w:r>
          </w:p>
          <w:p>
            <w:pPr>
              <w:pStyle w:val="T4dispositie"/>
              <w:rPr/>
            </w:pPr>
            <w:r>
              <w:rPr/>
              <w:t>Salicionaal</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tc>
      </w:tr>
    </w:tbl>
    <w:p>
      <w:pPr>
        <w:pStyle w:val="T1"/>
        <w:jc w:val="start"/>
        <w:rPr/>
      </w:pPr>
      <w:r>
        <w:rPr/>
      </w:r>
    </w:p>
    <w:p>
      <w:pPr>
        <w:pStyle w:val="T1"/>
        <w:jc w:val="start"/>
        <w:rPr>
          <w:lang w:val="nl-NL"/>
        </w:rPr>
      </w:pPr>
      <w:r>
        <w:rPr>
          <w:lang w:val="nl-NL"/>
        </w:rPr>
        <w:t>Werktuiglijk register</w:t>
      </w:r>
    </w:p>
    <w:p>
      <w:pPr>
        <w:pStyle w:val="T1"/>
        <w:jc w:val="start"/>
        <w:rPr>
          <w:lang w:val="nl-NL"/>
        </w:rPr>
      </w:pPr>
      <w:r>
        <w:rPr>
          <w:lang w:val="nl-NL"/>
        </w:rPr>
        <w:t>trede voor het in- en uitschakelen van de Prestant en de Roerfluit</w:t>
      </w:r>
    </w:p>
    <w:p>
      <w:pPr>
        <w:pStyle w:val="T1"/>
        <w:jc w:val="start"/>
        <w:rPr>
          <w:lang w:val="nl-NL"/>
        </w:rPr>
      </w:pPr>
      <w:r>
        <w:rPr>
          <w:lang w:val="nl-NL"/>
        </w:rPr>
      </w:r>
    </w:p>
    <w:p>
      <w:pPr>
        <w:pStyle w:val="T1"/>
        <w:jc w:val="start"/>
        <w:rPr/>
      </w:pPr>
      <w:r>
        <w:rPr/>
        <w:t>Toonhoogte</w:t>
      </w:r>
    </w:p>
    <w:p>
      <w:pPr>
        <w:pStyle w:val="T1"/>
        <w:jc w:val="start"/>
        <w:rPr/>
      </w:pPr>
      <w:r>
        <w:rPr/>
        <w:t>Niet meetbaar</w:t>
      </w:r>
    </w:p>
    <w:p>
      <w:pPr>
        <w:pStyle w:val="T1"/>
        <w:jc w:val="start"/>
        <w:rPr/>
      </w:pPr>
      <w:r>
        <w:rPr/>
        <w:t>Temperatuur</w:t>
      </w:r>
    </w:p>
    <w:p>
      <w:pPr>
        <w:pStyle w:val="T1"/>
        <w:jc w:val="start"/>
        <w:rPr/>
      </w:pPr>
      <w:r>
        <w:rPr/>
        <w:t>Niet vast te stellen</w:t>
      </w:r>
    </w:p>
    <w:p>
      <w:pPr>
        <w:pStyle w:val="T1"/>
        <w:jc w:val="start"/>
        <w:rPr/>
      </w:pPr>
      <w:r>
        <w:rPr/>
      </w:r>
    </w:p>
    <w:p>
      <w:pPr>
        <w:pStyle w:val="T1"/>
        <w:jc w:val="start"/>
        <w:rPr/>
      </w:pPr>
      <w:r>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p>
    <w:p>
      <w:pPr>
        <w:pStyle w:val="T1"/>
        <w:jc w:val="start"/>
        <w:rPr>
          <w:lang w:val="nl-NL"/>
        </w:rPr>
      </w:pPr>
      <w:r>
        <w:rPr>
          <w:lang w:val="nl-NL"/>
        </w:rPr>
      </w:r>
    </w:p>
    <w:p>
      <w:pPr>
        <w:pStyle w:val="T1"/>
        <w:jc w:val="start"/>
        <w:rPr/>
      </w:pPr>
      <w:r>
        <w:rPr/>
        <w:t>Windvoorziening</w:t>
      </w:r>
    </w:p>
    <w:p>
      <w:pPr>
        <w:pStyle w:val="T1"/>
        <w:jc w:val="start"/>
        <w:rPr>
          <w:lang w:val="nl-NL"/>
        </w:rPr>
      </w:pPr>
      <w:r>
        <w:rPr>
          <w:lang w:val="nl-NL"/>
        </w:rPr>
        <w:t>magazijnbalg met in- en uitspringende vouw, schepbalg en handpomp (1897)</w:t>
      </w:r>
    </w:p>
    <w:p>
      <w:pPr>
        <w:pStyle w:val="T1"/>
        <w:jc w:val="start"/>
        <w:rPr/>
      </w:pPr>
      <w:r>
        <w:rPr/>
        <w:t>Winddruk</w:t>
      </w:r>
    </w:p>
    <w:p>
      <w:pPr>
        <w:pStyle w:val="T1"/>
        <w:jc w:val="start"/>
        <w:rPr/>
      </w:pPr>
      <w:r>
        <w:rPr/>
        <w:t>niet meetbaar</w:t>
      </w:r>
    </w:p>
    <w:p>
      <w:pPr>
        <w:pStyle w:val="T1"/>
        <w:jc w:val="start"/>
        <w:rPr/>
      </w:pPr>
      <w:r>
        <w:rPr/>
      </w:r>
    </w:p>
    <w:p>
      <w:pPr>
        <w:pStyle w:val="T1"/>
        <w:jc w:val="start"/>
        <w:rPr/>
      </w:pPr>
      <w:r>
        <w:rPr/>
        <w:t>Plaats klaviatuur</w:t>
      </w:r>
    </w:p>
    <w:p>
      <w:pPr>
        <w:pStyle w:val="T1"/>
        <w:jc w:val="start"/>
        <w:rPr/>
      </w:pPr>
      <w:r>
        <w:rPr/>
        <w:t>rechterzijde</w:t>
      </w:r>
    </w:p>
    <w:p>
      <w:pPr>
        <w:pStyle w:val="T1"/>
        <w:jc w:val="start"/>
        <w:rPr/>
      </w:pPr>
      <w:r>
        <w:rPr/>
      </w:r>
    </w:p>
    <w:p>
      <w:pPr>
        <w:pStyle w:val="T1"/>
        <w:jc w:val="start"/>
        <w:rPr>
          <w:rFonts w:ascii="Arial" w:hAnsi="Arial" w:cs="Arial"/>
          <w:b/>
          <w:b/>
          <w:bCs/>
          <w:spacing w:val="0"/>
          <w:sz w:val="26"/>
          <w:szCs w:val="26"/>
          <w:lang w:val="nl-NL"/>
        </w:rPr>
      </w:pPr>
      <w:r>
        <w:rPr>
          <w:rFonts w:cs="Arial" w:ascii="Arial" w:hAnsi="Arial"/>
          <w:b/>
          <w:bCs/>
          <w:spacing w:val="0"/>
          <w:sz w:val="26"/>
          <w:szCs w:val="26"/>
          <w:lang w:val="nl-NL"/>
        </w:rPr>
        <w:t>Bijzonderheden</w:t>
      </w:r>
    </w:p>
    <w:p>
      <w:pPr>
        <w:pStyle w:val="T1"/>
        <w:jc w:val="start"/>
        <w:rPr/>
      </w:pPr>
      <w:r>
        <w:rPr/>
      </w:r>
    </w:p>
    <w:p>
      <w:pPr>
        <w:pStyle w:val="T1"/>
        <w:jc w:val="start"/>
        <w:rPr/>
      </w:pPr>
      <w:r>
        <w:rPr/>
        <w:t>De registerknoppen bevinden zich in een horizontale rij boven het klavier.</w:t>
      </w:r>
    </w:p>
    <w:p>
      <w:pPr>
        <w:pStyle w:val="T1"/>
        <w:jc w:val="start"/>
        <w:rPr>
          <w:lang w:val="nl-NL"/>
        </w:rPr>
      </w:pPr>
      <w:r>
        <w:rPr>
          <w:lang w:val="nl-NL"/>
        </w:rPr>
        <w:t>Bovenop de stokken van de Prestant 8' en de Roerfluit 4' bevindt zich nog een sleep met twee dammen en een stok. Deze sleep staat op mechanische wijze in verbinding met een voettrede waardoor wisseling tussen een piano-klank voor de voorzang en een mezzoforte-klank voor een grotere groep zangers of de gemeente eenvoudig gerealiseerd kan worden.</w:t>
      </w:r>
    </w:p>
    <w:p>
      <w:pPr>
        <w:pStyle w:val="T1"/>
        <w:jc w:val="start"/>
        <w:rPr>
          <w:lang w:val="nl-NL"/>
        </w:rPr>
      </w:pPr>
      <w:r>
        <w:rPr>
          <w:lang w:val="nl-NL"/>
        </w:rPr>
        <w:t>Het pijpwerk staat opgesteld in hele tonen vanuit het midden naar weerszijden toe aflopend.</w:t>
      </w:r>
    </w:p>
    <w:p>
      <w:pPr>
        <w:pStyle w:val="T1"/>
        <w:jc w:val="start"/>
        <w:rPr>
          <w:lang w:val="nl-NL"/>
        </w:rPr>
      </w:pPr>
      <w:r>
        <w:rPr>
          <w:lang w:val="nl-NL"/>
        </w:rPr>
        <w:t>Het front is stom. Het binnenpijpwerk is, uitgezonderd C-dis van de Bourdon 8' (hout), geheel van metaal. Alle open pijpwerk is voorzien van expressions. Het pijpwerk is grotendeels oud, alleen de Roerfluit 4' is van recentere datum.</w:t>
      </w:r>
    </w:p>
    <w:p>
      <w:pPr>
        <w:pStyle w:val="T1"/>
        <w:jc w:val="start"/>
        <w:rPr/>
      </w:pPr>
      <w:r>
        <w:rPr>
          <w:lang w:val="nl-NL"/>
        </w:rPr>
        <w:t>De Prestant 8' heeft eigen open pijpwerk vanaf c. De Bourdon 8' is geheel gedekt. De Viola 8' is van C-c gedekt, het vervolg is open. De Vox Celestis 8' begint op c en is van c-fis gedekt, het vervolg is open. De Roerfluit 4' is gedekt van C-g</w:t>
      </w:r>
      <w:r>
        <w:rPr>
          <w:vertAlign w:val="superscript"/>
          <w:lang w:val="nl-NL"/>
        </w:rPr>
        <w:t>2</w:t>
      </w:r>
      <w:r>
        <w:rPr>
          <w:lang w:val="nl-NL"/>
        </w:rPr>
        <w:t xml:space="preserve"> , het vervolg is open, en op lengte.</w:t>
      </w:r>
    </w:p>
    <w:p>
      <w:pPr>
        <w:pStyle w:val="T1"/>
        <w:jc w:val="start"/>
        <w:rPr>
          <w:lang w:val="nl-NL"/>
        </w:rPr>
      </w:pPr>
      <w:r>
        <w:rPr>
          <w:lang w:val="nl-NL"/>
        </w:rPr>
        <w:t>Het orgel is wegens een defecte windvoorziening buiten gebruik.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2008-05-05T13:26:00Z</dcterms:created>
  <dc:creator>WS1</dc:creator>
  <dc:description/>
  <dc:language>en-US</dc:language>
  <cp:lastModifiedBy>NIvO</cp:lastModifiedBy>
  <cp:lastPrinted>2006-11-21T15:28:00Z</cp:lastPrinted>
  <dcterms:modified xsi:type="dcterms:W3CDTF">2008-06-24T13:51:00Z</dcterms:modified>
  <cp:revision>3</cp:revision>
  <dc:subject/>
  <dc:title>Sweykhuizen / 1883</dc:title>
</cp:coreProperties>
</file>