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Winsum (FR) / 1897</w:t>
      </w:r>
    </w:p>
    <w:p>
      <w:pPr>
        <w:pStyle w:val="Heading2"/>
        <w:jc w:val="both"/>
        <w:rPr>
          <w:i w:val="false"/>
          <w:i w:val="false"/>
          <w:iCs/>
        </w:rPr>
      </w:pPr>
      <w:r>
        <w:rPr>
          <w:i w:val="false"/>
          <w:iCs/>
        </w:rPr>
        <w:t>Gereformeerde Kerk</w:t>
      </w:r>
    </w:p>
    <w:p>
      <w:pPr>
        <w:pStyle w:val="TextBody"/>
        <w:rPr>
          <w:i w:val="false"/>
          <w:i w:val="false"/>
          <w:iCs w:val="false"/>
        </w:rPr>
      </w:pPr>
      <w:r>
        <w:rPr>
          <w:i w:val="false"/>
          <w:iCs w:val="false"/>
        </w:rPr>
      </w:r>
    </w:p>
    <w:p>
      <w:pPr>
        <w:pStyle w:val="T1"/>
        <w:jc w:val="start"/>
        <w:rPr>
          <w:i/>
          <w:i/>
          <w:iCs/>
          <w:lang w:val="nl-NL"/>
        </w:rPr>
      </w:pPr>
      <w:r>
        <w:rPr>
          <w:i/>
          <w:iCs/>
          <w:lang w:val="nl-NL"/>
        </w:rPr>
        <w:t>Bakstenen zaalkerkje met houten geveltoren, gebouwd in 1890 naar ontwerp van timmerbaas Nauta te Hijlaard. Verbouwd en gemoderniseerd in 1970.</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Dit front is onderdeel van de reeks identieke Bakker &amp; Timmenga-fronten, die met het orgel te Wouterswoude (1894) begon. Kenmerk is de vlakke uitvoering van de tussenvelden met parallel labiumverloop en een scheiding door middel van een vlak paneel met aan de onderzijde een verloop in de vorm van een cirkelsegment.</w:t>
      </w:r>
    </w:p>
    <w:p>
      <w:pPr>
        <w:pStyle w:val="T2Kunst"/>
        <w:jc w:val="start"/>
        <w:rPr>
          <w:lang w:val="nl-NL"/>
        </w:rPr>
      </w:pPr>
      <w:r>
        <w:rPr>
          <w:lang w:val="nl-NL"/>
        </w:rPr>
        <w:t>Eenvoudig maar smaakvol ornamentwerk, bestaande uit voluten, bladranken en bloemen. Geen blinderingen bij de pijpvoeten.</w:t>
      </w:r>
    </w:p>
    <w:p>
      <w:pPr>
        <w:pStyle w:val="T2Kunst"/>
        <w:jc w:val="start"/>
        <w:rPr>
          <w:lang w:val="nl-NL"/>
        </w:rPr>
      </w:pPr>
      <w:r>
        <w:rPr>
          <w:lang w:val="nl-NL"/>
        </w:rPr>
        <w:t>De opzetstukken op de zijtorens eindigen in een soort palmet, op de middentoren rust een lier op twee gekoppelde C-voluten. Smalle zijvleugels, waarin bladranken de voluutbanden omlijsten.</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Jan Jongepier, ‘De historie van het orgel’. In: </w:t>
      </w:r>
      <w:r>
        <w:rPr>
          <w:i/>
          <w:iCs/>
          <w:lang w:val="nl-NL"/>
        </w:rPr>
        <w:t>De regelmatige aanvoering van wind laat te wenschen over</w:t>
      </w:r>
      <w:r>
        <w:rPr>
          <w:lang w:val="nl-NL"/>
        </w:rPr>
        <w:t>. Z.p. [Winsum], z.j., [1987], 92-96.</w:t>
      </w:r>
    </w:p>
    <w:p>
      <w:pPr>
        <w:pStyle w:val="T3Lit"/>
        <w:jc w:val="start"/>
        <w:rPr/>
      </w:pPr>
      <w:r>
        <w:rPr>
          <w:lang w:val="nl-NL"/>
        </w:rPr>
        <w:t xml:space="preserve">Jan Jongepier, </w:t>
      </w:r>
      <w:r>
        <w:rPr>
          <w:i/>
          <w:lang w:val="nl-NL"/>
        </w:rPr>
        <w:t>Vijf eeuwen Friese orgelbouw</w:t>
      </w:r>
      <w:r>
        <w:rPr>
          <w:lang w:val="nl-NL"/>
        </w:rPr>
        <w:t>. Leeuwarden, 2004, 213.</w:t>
      </w:r>
    </w:p>
    <w:p>
      <w:pPr>
        <w:pStyle w:val="T3Lit"/>
        <w:rPr/>
      </w:pPr>
      <w:r>
        <w:rPr>
          <w:i/>
          <w:lang w:val="nl-NL"/>
        </w:rPr>
        <w:t>Het Orgel</w:t>
      </w:r>
      <w:r>
        <w:rPr>
          <w:lang w:val="nl-NL"/>
        </w:rPr>
        <w:t>, 82/1 (1986), 8.</w:t>
      </w:r>
    </w:p>
    <w:p>
      <w:pPr>
        <w:pStyle w:val="T1"/>
        <w:jc w:val="start"/>
        <w:rPr>
          <w:lang w:val="nl-NL"/>
        </w:rPr>
      </w:pPr>
      <w:r>
        <w:rPr>
          <w:lang w:val="nl-NL"/>
        </w:rPr>
      </w:r>
    </w:p>
    <w:p>
      <w:pPr>
        <w:pStyle w:val="T1"/>
        <w:jc w:val="start"/>
        <w:rPr>
          <w:lang w:val="nl-NL"/>
        </w:rPr>
      </w:pPr>
      <w:r>
        <w:rPr>
          <w:lang w:val="nl-NL"/>
        </w:rPr>
        <w:t>Orgelnummer 1684</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fa Vaas en Bron 1953</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1970</w:t>
      </w:r>
    </w:p>
    <w:p>
      <w:pPr>
        <w:pStyle w:val="T1"/>
        <w:numPr>
          <w:ilvl w:val="0"/>
          <w:numId w:val="2"/>
        </w:numPr>
        <w:jc w:val="start"/>
        <w:rPr>
          <w:lang w:val="nl-NL"/>
        </w:rPr>
      </w:pPr>
      <w:r>
        <w:rPr>
          <w:lang w:val="nl-NL"/>
        </w:rPr>
        <w:t>orgelkas opnieuw geschilderd in kader kerkrestauratie</w:t>
      </w:r>
    </w:p>
    <w:p>
      <w:pPr>
        <w:pStyle w:val="T1"/>
        <w:jc w:val="start"/>
        <w:rPr>
          <w:lang w:val="nl-NL"/>
        </w:rPr>
      </w:pPr>
      <w:r>
        <w:rPr>
          <w:lang w:val="nl-NL"/>
        </w:rPr>
      </w:r>
    </w:p>
    <w:p>
      <w:pPr>
        <w:pStyle w:val="T1"/>
        <w:jc w:val="start"/>
        <w:rPr>
          <w:lang w:val="nl-NL"/>
        </w:rPr>
      </w:pPr>
      <w:r>
        <w:rPr>
          <w:lang w:val="nl-NL"/>
        </w:rPr>
        <w:t>1975</w:t>
      </w:r>
    </w:p>
    <w:p>
      <w:pPr>
        <w:pStyle w:val="T1"/>
        <w:numPr>
          <w:ilvl w:val="0"/>
          <w:numId w:val="2"/>
        </w:numPr>
        <w:jc w:val="start"/>
        <w:rPr>
          <w:lang w:val="nl-NL"/>
        </w:rPr>
      </w:pPr>
      <w:r>
        <w:rPr>
          <w:lang w:val="nl-NL"/>
        </w:rPr>
        <w:t>orgel onbruikbaar geraakt na ernstige lekkage, ontstaan na plaatsen van het nieuwe geveltorentje</w:t>
      </w:r>
    </w:p>
    <w:p>
      <w:pPr>
        <w:pStyle w:val="T1"/>
        <w:jc w:val="start"/>
        <w:rPr>
          <w:lang w:val="nl-NL"/>
        </w:rPr>
      </w:pPr>
      <w:r>
        <w:rPr>
          <w:lang w:val="nl-NL"/>
        </w:rPr>
      </w:r>
    </w:p>
    <w:p>
      <w:pPr>
        <w:pStyle w:val="T1"/>
        <w:jc w:val="start"/>
        <w:rPr>
          <w:lang w:val="nl-NL"/>
        </w:rPr>
      </w:pPr>
      <w:r>
        <w:rPr>
          <w:lang w:val="nl-NL"/>
        </w:rPr>
        <w:t>W. van Leeuwen 1979</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(1897)</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orgelmakers Bakker en Timmenga hebben bij de bouw van dit orgel gebruik gemaakt van het door hen in 1896 ingenomen binnenwerk van het orgel in de Doopsgezinde Kerk te Steenwijk (deel 1726-1769, 193-195). Van dit uit omstreeks 1760 daterende instrument vonden de windlade en een groot deel van het pijpwerk in Winsum een nieuwe bestemming.</w:t>
      </w:r>
    </w:p>
    <w:p>
      <w:pPr>
        <w:pStyle w:val="T1"/>
        <w:jc w:val="start"/>
        <w:rPr/>
      </w:pPr>
      <w:r>
        <w:rPr>
          <w:lang w:val="nl-NL"/>
        </w:rPr>
        <w:t>De eiken windlade had oorspronkelijk een omvang van 49 tonen en was voorzien van een stekermechaniek. De cancelvolgorde volgde het front, met C-Fis in het midden, Gis-gis, respectievelijk G-g aan beide uiteinden in tertsvolgorde, en de discanten in hele tonen aflopend er tussenin. In 1897 werd de omvang van de lade vergoot tot 54 tonen door aan één kant vijf cancellen toe te voegen. Hierop werden in chromatische volgorde de tonen C-E geplaatst, waarna alle tonen vijf plaatsen opschoven, zodat f</w:t>
      </w:r>
      <w:r>
        <w:rPr>
          <w:vertAlign w:val="superscript"/>
          <w:lang w:val="nl-NL"/>
        </w:rPr>
        <w:t>3</w:t>
      </w:r>
      <w:r>
        <w:rPr>
          <w:lang w:val="nl-NL"/>
        </w:rPr>
        <w:t xml:space="preserve"> nu op de oorspronkelijke plaats voor c</w:t>
      </w:r>
      <w:r>
        <w:rPr>
          <w:vertAlign w:val="superscript"/>
          <w:lang w:val="nl-NL"/>
        </w:rPr>
        <w:t>3</w:t>
      </w:r>
      <w:r>
        <w:rPr>
          <w:lang w:val="nl-NL"/>
        </w:rPr>
        <w:t xml:space="preserve"> staat. De uit het onderzoek van de lade bekend geworden oorspronkelijke sleepindeling is vermeld in genoemde beschrijving in deel 1726-1769.</w:t>
      </w:r>
    </w:p>
    <w:p>
      <w:pPr>
        <w:pStyle w:val="T1"/>
        <w:jc w:val="start"/>
        <w:rPr/>
      </w:pPr>
      <w:r>
        <w:rPr>
          <w:lang w:val="nl-NL"/>
        </w:rPr>
        <w:t>De frontpijpen zijn van tin, 1897, aangesloten als F-g</w:t>
      </w:r>
      <w:r>
        <w:rPr>
          <w:vertAlign w:val="superscript"/>
          <w:lang w:val="nl-NL"/>
        </w:rPr>
        <w:t>1</w:t>
      </w:r>
      <w:r>
        <w:rPr>
          <w:lang w:val="nl-NL"/>
        </w:rPr>
        <w:t xml:space="preserve"> van de Prestant 8'. Ook C en Cis van de Octaaf 4' staan in het front. Het windtoestel is in de onderkas geplaatst. Alle klaviatuuronderdelen dateren uit 1897; de ondertoetsen van het handklavier zijn met celluloid belegd. De registerknoppen boven de lessenaar hebben witte porseleinen naamplaatjes. Speel- en registermechanieken uit 1897.</w:t>
      </w:r>
    </w:p>
    <w:p>
      <w:pPr>
        <w:pStyle w:val="T1"/>
        <w:jc w:val="start"/>
        <w:rPr/>
      </w:pPr>
      <w:r>
        <w:rPr>
          <w:lang w:val="nl-NL"/>
        </w:rPr>
        <w:t>Pijpwerk uit ca 1760 is aangetroffen in de volgende registers: Bourdon D 16' (fis</w:t>
      </w:r>
      <w:r>
        <w:rPr>
          <w:vertAlign w:val="superscript"/>
          <w:lang w:val="nl-NL"/>
        </w:rPr>
        <w:t>1</w:t>
      </w:r>
      <w:r>
        <w:rPr>
          <w:lang w:val="nl-NL"/>
        </w:rPr>
        <w:t>-f</w:t>
      </w:r>
      <w:r>
        <w:rPr>
          <w:vertAlign w:val="superscript"/>
          <w:lang w:val="nl-NL"/>
        </w:rPr>
        <w:t>3</w:t>
      </w:r>
      <w:r>
        <w:rPr>
          <w:lang w:val="nl-NL"/>
        </w:rPr>
        <w:t xml:space="preserve">, op de grootste oude pijp toonnaam </w:t>
      </w:r>
      <w:r>
        <w:rPr>
          <w:i/>
          <w:iCs/>
          <w:lang w:val="nl-NL"/>
        </w:rPr>
        <w:t>C</w:t>
      </w:r>
      <w:r>
        <w:rPr>
          <w:lang w:val="nl-NL"/>
        </w:rPr>
        <w:t xml:space="preserve"> en de naaminscriptie </w:t>
      </w:r>
      <w:r>
        <w:rPr>
          <w:i/>
          <w:iCs/>
          <w:lang w:val="nl-NL"/>
        </w:rPr>
        <w:t>Quint Roerfl 3 vt</w:t>
      </w:r>
      <w:r>
        <w:rPr>
          <w:lang w:val="nl-NL"/>
        </w:rPr>
        <w:t>), Prestant 8' (a</w:t>
      </w:r>
      <w:r>
        <w:rPr>
          <w:vertAlign w:val="superscript"/>
          <w:lang w:val="nl-NL"/>
        </w:rPr>
        <w:t>1</w:t>
      </w:r>
      <w:r>
        <w:rPr>
          <w:lang w:val="nl-NL"/>
        </w:rPr>
        <w:t>-cis</w:t>
      </w:r>
      <w:r>
        <w:rPr>
          <w:vertAlign w:val="superscript"/>
          <w:lang w:val="nl-NL"/>
        </w:rPr>
        <w:t>3</w:t>
      </w:r>
      <w:r>
        <w:rPr>
          <w:lang w:val="nl-NL"/>
        </w:rPr>
        <w:t>), Holpijp 8' (c-f</w:t>
      </w:r>
      <w:r>
        <w:rPr>
          <w:vertAlign w:val="superscript"/>
          <w:lang w:val="nl-NL"/>
        </w:rPr>
        <w:t>3</w:t>
      </w:r>
      <w:r>
        <w:rPr>
          <w:lang w:val="nl-NL"/>
        </w:rPr>
        <w:t>), Octaaf 4' (e-cis</w:t>
      </w:r>
      <w:r>
        <w:rPr>
          <w:vertAlign w:val="superscript"/>
          <w:lang w:val="nl-NL"/>
        </w:rPr>
        <w:t>3</w:t>
      </w:r>
      <w:r>
        <w:rPr>
          <w:lang w:val="nl-NL"/>
        </w:rPr>
        <w:t>), Fluit 4' (C-cis</w:t>
      </w:r>
      <w:r>
        <w:rPr>
          <w:vertAlign w:val="superscript"/>
          <w:lang w:val="nl-NL"/>
        </w:rPr>
        <w:t>3</w:t>
      </w:r>
      <w:r>
        <w:rPr>
          <w:lang w:val="nl-NL"/>
        </w:rPr>
        <w:t>), Octaaf 2' (C-cis</w:t>
      </w:r>
      <w:r>
        <w:rPr>
          <w:vertAlign w:val="superscript"/>
          <w:lang w:val="nl-NL"/>
        </w:rPr>
        <w:t>3</w:t>
      </w:r>
      <w:r>
        <w:rPr>
          <w:lang w:val="nl-NL"/>
        </w:rPr>
        <w:t>), en Cornet D, (cis</w:t>
      </w:r>
      <w:r>
        <w:rPr>
          <w:vertAlign w:val="superscript"/>
          <w:lang w:val="nl-NL"/>
        </w:rPr>
        <w:t>1</w:t>
      </w:r>
      <w:r>
        <w:rPr>
          <w:lang w:val="nl-NL"/>
        </w:rPr>
        <w:t>-cis</w:t>
      </w:r>
      <w:r>
        <w:rPr>
          <w:vertAlign w:val="superscript"/>
          <w:lang w:val="nl-NL"/>
        </w:rPr>
        <w:t>3</w:t>
      </w:r>
      <w:r>
        <w:rPr>
          <w:lang w:val="nl-NL"/>
        </w:rPr>
        <w:t>). Opvallend is dat de schrijfwijze van de oudste toonnamen op het pijpwerk kenmerken bezit die wijzen op invloeden vanuit de Noord-Duitse school.</w:t>
      </w:r>
    </w:p>
    <w:p>
      <w:pPr>
        <w:pStyle w:val="T1"/>
        <w:jc w:val="start"/>
        <w:rPr>
          <w:lang w:val="nl-NL"/>
        </w:rPr>
      </w:pPr>
      <w:r>
        <w:rPr>
          <w:lang w:val="nl-NL"/>
        </w:rPr>
        <w:t>C-E van de Prestant 8' zijn houten binnenpijpen uit 1897. Ook C-H van de Holpijp zijn van hout (1897). De Viola dateert geheel uit 1897 en spreekt van C-H in de Holpijp. Ook de pijpen in het groot octaaf van de Octaaf 4' dateren uit 1897. Zowel het oude als het nieuwe pijpwerk is in 1897 volgens de vaste patronen bij de orgelmakers Bakker en Timmenga van expressions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3</Pages>
  <Words>637</Words>
  <Characters>3458</Characters>
  <CharactersWithSpaces>4027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2008-05-05T13:29:00Z</dcterms:created>
  <dc:creator>WS1</dc:creator>
  <dc:description/>
  <dc:language>en-US</dc:language>
  <cp:lastModifiedBy>NIvO</cp:lastModifiedBy>
  <cp:lastPrinted>2002-01-08T11:24:00Z</cp:lastPrinted>
  <dcterms:modified xsi:type="dcterms:W3CDTF">2008-06-24T14:01:00Z</dcterms:modified>
  <cp:revision>3</cp:revision>
  <dc:subject/>
  <dc:title>Vrouwenpolder/ca 1845</dc:title>
</cp:coreProperties>
</file>