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Zoelen / 1897</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Driebeukige pseudobasiliek met recht gesloten koor en een toren met ingesnoerde spits.</w:t>
      </w:r>
    </w:p>
    <w:p>
      <w:pPr>
        <w:pStyle w:val="T1"/>
        <w:jc w:val="start"/>
        <w:rPr>
          <w:i/>
          <w:i/>
          <w:iCs/>
          <w:lang w:val="nl-NL"/>
        </w:rPr>
      </w:pPr>
      <w:r>
        <w:rPr>
          <w:i/>
          <w:iCs/>
          <w:lang w:val="nl-NL"/>
        </w:rPr>
        <w:t>Toren en koor 15e-eeuws, schip eerste helft 16e eeuw. Inwendig netgewelven en kruisribgewelven, in het koor een houten tongewelf. Doopvont ca 1540, kansel 1641, herenbank ca 1740. Onder het koor grafkelders, waarnaar verwezen wordt op enkele 17e-eeuwse rouwborden die in de kerk hangen.</w:t>
      </w:r>
    </w:p>
    <w:p>
      <w:pPr>
        <w:pStyle w:val="T1"/>
        <w:jc w:val="start"/>
        <w:rPr>
          <w:i/>
          <w:i/>
          <w:iCs/>
          <w:lang w:val="nl-NL"/>
        </w:rPr>
      </w:pPr>
      <w:r>
        <w:rPr>
          <w:i/>
          <w:iCs/>
          <w:lang w:val="nl-NL"/>
        </w:rPr>
      </w:r>
    </w:p>
    <w:p>
      <w:pPr>
        <w:pStyle w:val="T1"/>
        <w:jc w:val="start"/>
        <w:rPr>
          <w:lang w:val="nl-NL"/>
        </w:rPr>
      </w:pPr>
      <w:r>
        <w:rPr>
          <w:lang w:val="nl-NL"/>
        </w:rPr>
        <w:t>Kas: 1897</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het orgel te Zoelen confronteert de beschouwer met een kenmerkend gegeven in de Friese orgelbouw. In de tweede helft van de 19e eeuw ontstond daarin aan de ene kant een frequente herhaling van frontontwerpen, terwijl aan de andere kant geen van die herhaalde frontontwerpen wat uitvoering betreft precies hetzelfde zijn. Voor die variatiekunst op één thema werden drie methodes gehanteerd.</w:t>
      </w:r>
    </w:p>
    <w:p>
      <w:pPr>
        <w:pStyle w:val="T2Kunst"/>
        <w:jc w:val="start"/>
        <w:rPr>
          <w:lang w:val="nl-NL"/>
        </w:rPr>
      </w:pPr>
      <w:r>
        <w:rPr>
          <w:lang w:val="nl-NL"/>
        </w:rPr>
        <w:t>Variatie op het terrein van de ornamentiek, zowel veroorzaakt door stijlontwikkeling als binnen een stijlgegeven subtiel toegepast, is de eerste mogelijkheid. Een tweede gebruik dat tot verandering van het uiterlijk leidt betreft een ingreep in de totale afmetingen van het front veroorzaakt door de beslissing het frontregister op C, dan wel op een hogere toon te laten aanvangen. Deze variatiemogelijkheid werd toegepast vanuit een goed gevoel voor proportie van het front ten opzichte van het kerkinterieur.</w:t>
      </w:r>
    </w:p>
    <w:p>
      <w:pPr>
        <w:pStyle w:val="T2Kunst"/>
        <w:jc w:val="start"/>
        <w:rPr>
          <w:lang w:val="nl-NL"/>
        </w:rPr>
      </w:pPr>
      <w:r>
        <w:rPr>
          <w:lang w:val="nl-NL"/>
        </w:rPr>
        <w:t>De derde mogelijkheid bestond in het vergroten van het aantal frontpijpen in verschillende frontgeledingen, binnen het ontwerpkader. Deze variatiemogelijkheid hield altijd verband met de gewenste ruimtemogelijkheden voor het beoogde binnenwerk.</w:t>
      </w:r>
    </w:p>
    <w:p>
      <w:pPr>
        <w:pStyle w:val="T2Kunst"/>
        <w:jc w:val="start"/>
        <w:rPr>
          <w:lang w:val="nl-NL"/>
        </w:rPr>
      </w:pPr>
      <w:r>
        <w:rPr>
          <w:lang w:val="nl-NL"/>
        </w:rPr>
        <w:t>Het front van Zoelen is een sprekend getuigenis van deze laatste variatietechniek. Het prototype van dit ontwerp was destijds bedoeld voor een eenklaviers orgel (Raamsdonksveer, 1881, deel 1878-1886, 181-183) en werd met subtiele ornamentiek-varianten voor soortgelijke orgels herhaald in Nieuwe Niedorp (1882, deel 1878-1886, 223-225) en Haaften (1893, deel 1886-1894, 302-303). Wat een verschil met deze drie ranke neogotische orgels is er echter ontstaan in Zoelen.</w:t>
      </w:r>
    </w:p>
    <w:p>
      <w:pPr>
        <w:pStyle w:val="T2Kunst"/>
        <w:jc w:val="start"/>
        <w:rPr>
          <w:lang w:val="nl-NL"/>
        </w:rPr>
      </w:pPr>
      <w:r>
        <w:rPr>
          <w:lang w:val="nl-NL"/>
        </w:rPr>
        <w:t>Nadere beschouwing leert dat aan het frontontwerp van de eerder genoemde voorgangers getrouw is vastgehouden. Dat de eerdere charmante slankheid in Zoelen heeft plaatsgemaakt voor een nadrukkelijk gezet postuur, komt alleen door een rigoureuze toename van het aantal frontpijpen in alle frontgeledingen. Op deze wijze hebben de orgelmakers het front geschikt gemaakt voor een ruim bemeten tweeklaviers instrument.</w:t>
      </w:r>
    </w:p>
    <w:p>
      <w:pPr>
        <w:pStyle w:val="T2Kunst"/>
        <w:jc w:val="start"/>
        <w:rPr>
          <w:lang w:val="nl-NL"/>
        </w:rPr>
      </w:pPr>
      <w:r>
        <w:rPr>
          <w:lang w:val="nl-NL"/>
        </w:rPr>
        <w:t>Niet alleen het basisontwerp, ook de ornamentiek is het oorspronkelijke ontwerp trouw gebleven. Dat betekent dat de vrij academische neogotische vormentaal ook hier op alle bekende plaatsen aanwezig is, en net als bij de drie voorgangers, met subtiele verschillen ten opzichte van de eerdere uitvoeringen.</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Het Orgel</w:t>
      </w:r>
      <w:r>
        <w:rPr>
          <w:lang w:val="nl-NL"/>
        </w:rPr>
        <w:t>, 12/5 (1897), 81.</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A.H. de Graaf.</w:t>
      </w:r>
    </w:p>
    <w:p>
      <w:pPr>
        <w:pStyle w:val="T3Lit"/>
        <w:rPr/>
      </w:pPr>
      <w:r>
        <w:rPr>
          <w:lang w:val="fr-FR"/>
        </w:rPr>
        <w:t xml:space="preserve">A. Bouman, </w:t>
      </w:r>
      <w:r>
        <w:rPr>
          <w:i/>
          <w:iCs/>
          <w:lang w:val="fr-FR"/>
        </w:rPr>
        <w:t>Dispositiecahier VIII-C</w:t>
      </w:r>
      <w:r>
        <w:rPr>
          <w:lang w:val="fr-FR"/>
        </w:rPr>
        <w:t>.</w:t>
      </w:r>
    </w:p>
    <w:p>
      <w:pPr>
        <w:pStyle w:val="T1"/>
        <w:jc w:val="start"/>
        <w:rPr>
          <w:lang w:val="fr-FR"/>
        </w:rPr>
      </w:pPr>
      <w:r>
        <w:rPr>
          <w:lang w:val="fr-FR"/>
        </w:rPr>
      </w:r>
    </w:p>
    <w:p>
      <w:pPr>
        <w:pStyle w:val="T3Lit"/>
        <w:rPr>
          <w:lang w:val="nl-NL"/>
        </w:rPr>
      </w:pPr>
      <w:r>
        <w:rPr>
          <w:lang w:val="nl-NL"/>
        </w:rPr>
        <w:t>Monumentnummer 11431</w:t>
      </w:r>
    </w:p>
    <w:p>
      <w:pPr>
        <w:pStyle w:val="T3Lit"/>
        <w:rPr>
          <w:lang w:val="nl-NL"/>
        </w:rPr>
      </w:pPr>
      <w:r>
        <w:rPr>
          <w:lang w:val="nl-NL"/>
        </w:rPr>
        <w:t>Orgelnummer 1760</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L. van Dam en Zonen</w:t>
      </w:r>
    </w:p>
    <w:p>
      <w:pPr>
        <w:pStyle w:val="T1"/>
        <w:jc w:val="start"/>
        <w:rPr>
          <w:lang w:val="nl-NL"/>
        </w:rPr>
      </w:pPr>
      <w:r>
        <w:rPr>
          <w:lang w:val="nl-NL"/>
        </w:rPr>
        <w:t>2. J. de Koff &amp; Zn.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1. 1897</w:t>
      </w:r>
    </w:p>
    <w:p>
      <w:pPr>
        <w:pStyle w:val="T1"/>
        <w:jc w:val="start"/>
        <w:rPr>
          <w:lang w:val="nl-NL"/>
        </w:rPr>
      </w:pPr>
      <w:r>
        <w:rPr>
          <w:lang w:val="nl-NL"/>
        </w:rPr>
        <w:t>2. 1960</w:t>
      </w:r>
    </w:p>
    <w:p>
      <w:pPr>
        <w:pStyle w:val="T1"/>
        <w:jc w:val="start"/>
        <w:rPr>
          <w:lang w:val="nl-NL"/>
        </w:rPr>
      </w:pPr>
      <w:r>
        <w:rPr>
          <w:lang w:val="nl-NL"/>
        </w:rPr>
      </w:r>
    </w:p>
    <w:p>
      <w:pPr>
        <w:pStyle w:val="T1"/>
        <w:jc w:val="start"/>
        <w:rPr>
          <w:lang w:val="nl-NL"/>
        </w:rPr>
      </w:pPr>
      <w:r>
        <w:rPr>
          <w:lang w:val="nl-NL"/>
        </w:rPr>
        <w:t>B.F. Bergmeijer 1933</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T1"/>
        <w:jc w:val="start"/>
        <w:rPr>
          <w:lang w:val="nl-NL"/>
        </w:rPr>
      </w:pPr>
      <w:r>
        <w:rPr>
          <w:lang w:val="nl-NL"/>
        </w:rPr>
        <w:t>J. de Koff &amp; Zn 1960</w:t>
      </w:r>
    </w:p>
    <w:p>
      <w:pPr>
        <w:pStyle w:val="T1"/>
        <w:numPr>
          <w:ilvl w:val="0"/>
          <w:numId w:val="2"/>
        </w:numPr>
        <w:jc w:val="start"/>
        <w:rPr>
          <w:lang w:val="nl-NL"/>
        </w:rPr>
      </w:pPr>
      <w:r>
        <w:rPr>
          <w:lang w:val="nl-NL"/>
        </w:rPr>
        <w:t>speelmechanieken hersteld en deels van nieuwe onderdelen voorzien</w:t>
      </w:r>
    </w:p>
    <w:p>
      <w:pPr>
        <w:pStyle w:val="T1"/>
        <w:numPr>
          <w:ilvl w:val="0"/>
          <w:numId w:val="2"/>
        </w:numPr>
        <w:jc w:val="start"/>
        <w:rPr>
          <w:lang w:val="nl-NL"/>
        </w:rPr>
      </w:pPr>
      <w:r>
        <w:rPr>
          <w:lang w:val="nl-NL"/>
        </w:rPr>
        <w:t>nieuw pedaalklavier, twee pedaalkoppels toegevoegd</w:t>
      </w:r>
    </w:p>
    <w:p>
      <w:pPr>
        <w:pStyle w:val="T1"/>
        <w:numPr>
          <w:ilvl w:val="0"/>
          <w:numId w:val="2"/>
        </w:numPr>
        <w:jc w:val="start"/>
        <w:rPr/>
      </w:pPr>
      <w:r>
        <w:rPr/>
        <w:t>Ped + Subbas 16'</w:t>
      </w:r>
    </w:p>
    <w:p>
      <w:pPr>
        <w:pStyle w:val="T1"/>
        <w:jc w:val="start"/>
        <w:rPr/>
      </w:pPr>
      <w:r>
        <w:rPr/>
      </w:r>
    </w:p>
    <w:p>
      <w:pPr>
        <w:pStyle w:val="T1"/>
        <w:jc w:val="start"/>
        <w:rPr>
          <w:lang w:val="nl-NL"/>
        </w:rPr>
      </w:pPr>
      <w:r>
        <w:rPr>
          <w:lang w:val="nl-NL"/>
        </w:rPr>
        <w:t>Onbekend moment</w:t>
      </w:r>
    </w:p>
    <w:p>
      <w:pPr>
        <w:pStyle w:val="T1"/>
        <w:numPr>
          <w:ilvl w:val="0"/>
          <w:numId w:val="3"/>
        </w:numPr>
        <w:jc w:val="start"/>
        <w:rPr>
          <w:lang w:val="nl-NL"/>
        </w:rPr>
      </w:pPr>
      <w:r>
        <w:rPr>
          <w:lang w:val="nl-NL"/>
        </w:rPr>
        <w:t>orgelkas integraal wit geschilderd</w:t>
      </w:r>
    </w:p>
    <w:p>
      <w:pPr>
        <w:pStyle w:val="T1"/>
        <w:jc w:val="start"/>
        <w:rPr>
          <w:lang w:val="nl-NL"/>
        </w:rPr>
      </w:pPr>
      <w:r>
        <w:rPr>
          <w:lang w:val="nl-NL"/>
        </w:rPr>
      </w:r>
    </w:p>
    <w:p>
      <w:pPr>
        <w:pStyle w:val="T1"/>
        <w:jc w:val="start"/>
        <w:rPr>
          <w:lang w:val="nl-NL"/>
        </w:rPr>
      </w:pPr>
      <w:r>
        <w:rPr>
          <w:lang w:val="nl-NL"/>
        </w:rPr>
        <w:t>A.H. de Graaf 1988</w:t>
      </w:r>
    </w:p>
    <w:p>
      <w:pPr>
        <w:pStyle w:val="T1"/>
        <w:numPr>
          <w:ilvl w:val="0"/>
          <w:numId w:val="3"/>
        </w:numPr>
        <w:jc w:val="start"/>
        <w:rPr>
          <w:lang w:val="nl-NL"/>
        </w:rPr>
      </w:pPr>
      <w:r>
        <w:rPr>
          <w:lang w:val="nl-NL"/>
        </w:rPr>
        <w:t>restauratie</w:t>
      </w:r>
    </w:p>
    <w:p>
      <w:pPr>
        <w:pStyle w:val="T1"/>
        <w:numPr>
          <w:ilvl w:val="0"/>
          <w:numId w:val="3"/>
        </w:numPr>
        <w:jc w:val="start"/>
        <w:rPr>
          <w:lang w:val="nl-NL"/>
        </w:rPr>
      </w:pPr>
      <w:r>
        <w:rPr>
          <w:lang w:val="nl-NL"/>
        </w:rPr>
        <w:t>windladen gerestaureerd en aan de bovenzijde van plaat voorzien</w:t>
      </w:r>
    </w:p>
    <w:p>
      <w:pPr>
        <w:pStyle w:val="T1"/>
        <w:numPr>
          <w:ilvl w:val="0"/>
          <w:numId w:val="3"/>
        </w:numPr>
        <w:jc w:val="start"/>
        <w:rPr>
          <w:lang w:val="nl-NL"/>
        </w:rPr>
      </w:pPr>
      <w:r>
        <w:rPr>
          <w:lang w:val="nl-NL"/>
        </w:rPr>
        <w:t>windvoorziening gerestaureerd, nieuwe panelen bovenblad magazijnbalg</w:t>
      </w:r>
    </w:p>
    <w:p>
      <w:pPr>
        <w:pStyle w:val="T1"/>
        <w:numPr>
          <w:ilvl w:val="0"/>
          <w:numId w:val="3"/>
        </w:numPr>
        <w:jc w:val="start"/>
        <w:rPr>
          <w:lang w:val="nl-NL"/>
        </w:rPr>
      </w:pPr>
      <w:r>
        <w:rPr>
          <w:lang w:val="nl-NL"/>
        </w:rPr>
        <w:t>BW + Quintfluit 3' op gereserveerde sleep</w:t>
      </w:r>
    </w:p>
    <w:p>
      <w:pPr>
        <w:pStyle w:val="T1"/>
        <w:numPr>
          <w:ilvl w:val="0"/>
          <w:numId w:val="3"/>
        </w:numPr>
        <w:jc w:val="start"/>
        <w:rPr>
          <w:lang w:val="nl-NL"/>
        </w:rPr>
      </w:pPr>
      <w:r>
        <w:rPr>
          <w:lang w:val="nl-NL"/>
        </w:rPr>
        <w:t>orgelkas opnieuw geheel geschilderd in oorspronkelijke kleurstelling</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Quintprestant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c>
          <w:tcPr>
            <w:tcW w:w="1440" w:type="dxa"/>
            <w:tcBorders/>
          </w:tcPr>
          <w:p>
            <w:pPr>
              <w:pStyle w:val="T4dispositie"/>
              <w:rPr>
                <w:i/>
                <w:i/>
                <w:lang w:val="nl-NL"/>
              </w:rPr>
            </w:pPr>
            <w:r>
              <w:rPr>
                <w:i/>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Fluit dolce</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Woudfluit</w:t>
            </w:r>
          </w:p>
          <w:p>
            <w:pPr>
              <w:pStyle w:val="T4dispositie"/>
              <w:rPr>
                <w:lang w:val="nl-NL"/>
              </w:rPr>
            </w:pPr>
            <w:r>
              <w:rPr>
                <w:lang w:val="nl-NL"/>
              </w:rPr>
              <w:t>Salicet</w:t>
            </w:r>
          </w:p>
          <w:p>
            <w:pPr>
              <w:pStyle w:val="T4dispositie"/>
              <w:rPr>
                <w:lang w:val="nl-NL"/>
              </w:rPr>
            </w:pPr>
            <w:r>
              <w:rPr>
                <w:lang w:val="nl-NL"/>
              </w:rPr>
              <w:t>Quintfluit</w:t>
            </w:r>
          </w:p>
          <w:p>
            <w:pPr>
              <w:pStyle w:val="T4dispositie"/>
              <w:rPr>
                <w:lang w:val="nl-NL"/>
              </w:rPr>
            </w:pPr>
            <w:r>
              <w:rPr>
                <w:lang w:val="nl-NL"/>
              </w:rPr>
              <w:t>Gemshoorn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c>
          <w:tcPr>
            <w:tcW w:w="108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HW-BW, Ped-HW, Ped-BW</w:t>
      </w:r>
    </w:p>
    <w:p>
      <w:pPr>
        <w:pStyle w:val="Normal"/>
        <w:rPr>
          <w:rFonts w:ascii="Times New Roman" w:hAnsi="Times New Roman" w:cs="Times New Roman"/>
          <w:szCs w:val="24"/>
        </w:rPr>
      </w:pPr>
      <w:r>
        <w:rPr>
          <w:rFonts w:cs="Times New Roman" w:ascii="Times New Roman" w:hAnsi="Times New Roman"/>
          <w:szCs w:val="24"/>
        </w:rPr>
        <w:t>tremblant</w:t>
      </w:r>
    </w:p>
    <w:p>
      <w:pPr>
        <w:pStyle w:val="Normal"/>
        <w:rPr>
          <w:rFonts w:ascii="Times New Roman" w:hAnsi="Times New Roman" w:cs="Times New Roman"/>
          <w:szCs w:val="24"/>
        </w:rPr>
      </w:pPr>
      <w:r>
        <w:rPr>
          <w:rFonts w:cs="Times New Roman" w:ascii="Times New Roman" w:hAnsi="Times New Roman"/>
          <w:szCs w:val="24"/>
        </w:rPr>
        <w:t>afsluiter HW, afsluiter BW</w:t>
      </w:r>
    </w:p>
    <w:p>
      <w:pPr>
        <w:pStyle w:val="Normal"/>
        <w:rPr>
          <w:rFonts w:ascii="Times New Roman" w:hAnsi="Times New Roman" w:cs="Times New Roman"/>
          <w:szCs w:val="24"/>
        </w:rPr>
      </w:pPr>
      <w:r>
        <w:rPr>
          <w:rFonts w:cs="Times New Roman" w:ascii="Times New Roman" w:hAnsi="Times New Roman"/>
          <w:szCs w:val="24"/>
        </w:rPr>
        <w:t>windlozer</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p>
      <w:pPr>
        <w:pStyle w:val="Normal"/>
        <w:rPr>
          <w:rFonts w:ascii="Times New Roman" w:hAnsi="Times New Roman" w:cs="Times New Roman"/>
          <w:szCs w:val="24"/>
        </w:rPr>
      </w:pPr>
      <w:r>
        <w:rPr>
          <w:rFonts w:cs="Times New Roman" w:ascii="Times New Roman" w:hAnsi="Times New Roman"/>
          <w:szCs w:val="24"/>
        </w:rPr>
        <w:t xml:space="preserve">Cornet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2 2/3 - 2 - 1 3/5</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435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met twee schepbalgen en handpomp (1897)</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69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 xml:space="preserve">In het bericht in </w:t>
      </w:r>
      <w:r>
        <w:rPr>
          <w:i/>
          <w:iCs/>
          <w:lang w:val="nl-NL"/>
        </w:rPr>
        <w:t>Het Orgel</w:t>
      </w:r>
      <w:r>
        <w:rPr>
          <w:lang w:val="nl-NL"/>
        </w:rPr>
        <w:t xml:space="preserve"> wordt de Woudfluit 4' BW Fluit d’Amour genoemd en de Gemshoorn 2' Nachthoorn. Het pedaalregister is in 1960 open achter het orgel opgesteld, voorzien van mechanische tractuur.</w:t>
      </w:r>
    </w:p>
    <w:p>
      <w:pPr>
        <w:pStyle w:val="T1"/>
        <w:jc w:val="start"/>
        <w:rPr>
          <w:lang w:val="nl-NL"/>
        </w:rPr>
      </w:pPr>
      <w:r>
        <w:rPr>
          <w:lang w:val="nl-NL"/>
        </w:rPr>
        <w:t>De frontpijpen zijn van tin. In het front spreken delen van de Prestant 8' HW en Salicionaal 8' BW.</w:t>
      </w:r>
    </w:p>
    <w:p>
      <w:pPr>
        <w:pStyle w:val="T1"/>
        <w:jc w:val="start"/>
        <w:rPr>
          <w:lang w:val="nl-NL"/>
        </w:rPr>
      </w:pPr>
      <w:r>
        <w:rPr>
          <w:lang w:val="nl-NL"/>
        </w:rPr>
        <w:t>De handklavieren zijn eiken staartklavieren met nog het originele ivoorbeleg op de ondertoetsen. De registerknoppen, voorzien van witte porseleinen naamplaatjes, zijn geplaatst in eiken registerborden. Boven de lessenaar zijn in twee rijen de knoppen van HW en BW geplaatst, inclusief de afsluitingen en de tremblant BW. De windlozer bevindt zich rechts van de klavieren, de koppelingen en de Subbas links. Het oude pedaalklavier had 27 tonen en werd na 1960 bij het orgel bewaard. Na 1988 was het bij de orgelmaker De Graaf in opslag die toestemde in hergebruik bij het orgel in de Hervormde Kerk te Stavoren.</w:t>
      </w:r>
    </w:p>
    <w:p>
      <w:pPr>
        <w:pStyle w:val="T1"/>
        <w:jc w:val="start"/>
        <w:rPr>
          <w:lang w:val="nl-NL"/>
        </w:rPr>
      </w:pPr>
      <w:r>
        <w:rPr>
          <w:lang w:val="nl-NL"/>
        </w:rPr>
        <w:t>Het windtoestel bevindt zich onder in de kas.</w:t>
      </w:r>
    </w:p>
    <w:p>
      <w:pPr>
        <w:pStyle w:val="T1"/>
        <w:jc w:val="start"/>
        <w:rPr/>
      </w:pPr>
      <w:r>
        <w:rPr>
          <w:lang w:val="nl-NL"/>
        </w:rPr>
        <w:t>De windladen zijn van eiken met mahonie stokken. De ventielkasten zijn voorzien van opliggende voorslagen. De cancelvolgorde van de HW-lade is chromatisch: C-d g</w:t>
      </w:r>
      <w:r>
        <w:rPr>
          <w:vertAlign w:val="superscript"/>
          <w:lang w:val="nl-NL"/>
        </w:rPr>
        <w:t>3</w:t>
      </w:r>
      <w:r>
        <w:rPr>
          <w:lang w:val="nl-NL"/>
        </w:rPr>
        <w:t>-dis. De BW-lade is in hele tonen ingericht met C-Cis in het midden.</w:t>
      </w:r>
    </w:p>
    <w:p>
      <w:pPr>
        <w:pStyle w:val="T1"/>
        <w:jc w:val="start"/>
        <w:rPr/>
      </w:pPr>
      <w:r>
        <w:rPr>
          <w:lang w:val="nl-NL"/>
        </w:rPr>
        <w:t>Eiken pijpen zijn toegepast bij de Bourdon 16' (C-g) de Holpijp 8' (C-G) en de Fluit dolce 8' (C-G). De Violon 8' begint op c. Van de Salicionaal 8' staan enkele grotere pijpen afgevoerd achter het middenveld, lager dan de BW-lade. De Viola di Gamba is van C-H gecombineerd met de Fluit dolce en is verder van tin. Het hoogste octaaf van de Roerfluit 4' is open. De Woudfluit 4' is van C-g</w:t>
      </w:r>
      <w:r>
        <w:rPr>
          <w:vertAlign w:val="superscript"/>
          <w:lang w:val="nl-NL"/>
        </w:rPr>
        <w:t>2</w:t>
      </w:r>
      <w:r>
        <w:rPr>
          <w:lang w:val="nl-NL"/>
        </w:rPr>
        <w:t xml:space="preserve"> gedekt en verder open. De Gemshoorn 2' is conisch. De Quinfluit 3' (1988) is gemaakt naar het voorbeeld van het gelijknamig register van het Van Dam-orgel dat toen nog in de Nieuwe Kerk te Scheveningen stond (1899, thans te Wageningen). C-e is gedekt, daarna is het register open. De Trompet 8' heeft mahonie stevels en koppen en messing kelen.</w:t>
      </w:r>
    </w:p>
    <w:p>
      <w:pPr>
        <w:pStyle w:val="T1"/>
        <w:jc w:val="start"/>
        <w:rPr>
          <w:lang w:val="nl-NL"/>
        </w:rPr>
      </w:pPr>
      <w:r>
        <w:rPr>
          <w:lang w:val="nl-NL"/>
        </w:rPr>
        <w:t>Het metalen binnenpijpwerk bezit geritste spitslabia. Expressions zijn toegepast bij alle open acht-voets registers, bij een deel van de Salicet 4', bij de Octaaf 4' (C-h), Quintprestant 3' (C-e) en Octaaf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ages>4</Pages>
  <Words>997</Words>
  <Characters>5514</Characters>
  <CharactersWithSpaces>6389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2008-05-05T13:29:00Z</dcterms:created>
  <dc:creator>WS1</dc:creator>
  <dc:description/>
  <dc:language>en-US</dc:language>
  <cp:lastModifiedBy>NIvO</cp:lastModifiedBy>
  <dcterms:modified xsi:type="dcterms:W3CDTF">2008-06-24T14:03:00Z</dcterms:modified>
  <cp:revision>4</cp:revision>
  <dc:subject/>
  <dc:title>Olst / 1880</dc:title>
</cp:coreProperties>
</file>