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Beek / 1898</w:t>
      </w:r>
    </w:p>
    <w:p>
      <w:pPr>
        <w:pStyle w:val="Heading2"/>
        <w:rPr>
          <w:i w:val="false"/>
          <w:i w:val="false"/>
          <w:iCs/>
        </w:rPr>
      </w:pPr>
      <w:r>
        <w:rPr>
          <w:i w:val="false"/>
          <w:iCs/>
        </w:rPr>
        <w:t>R.K. St-Martinuskerk</w:t>
      </w:r>
    </w:p>
    <w:p>
      <w:pPr>
        <w:pStyle w:val="T1"/>
        <w:jc w:val="start"/>
        <w:rPr>
          <w:i/>
          <w:i/>
          <w:iCs/>
          <w:lang w:val="nl-NL"/>
        </w:rPr>
      </w:pPr>
      <w:r>
        <w:rPr>
          <w:i/>
          <w:iCs/>
          <w:lang w:val="nl-NL"/>
        </w:rPr>
      </w:r>
    </w:p>
    <w:p>
      <w:pPr>
        <w:pStyle w:val="T1"/>
        <w:jc w:val="start"/>
        <w:rPr>
          <w:i/>
          <w:i/>
          <w:iCs/>
          <w:lang w:val="nl-NL"/>
        </w:rPr>
      </w:pPr>
      <w:r>
        <w:rPr>
          <w:i/>
          <w:iCs/>
          <w:lang w:val="nl-NL"/>
        </w:rPr>
        <w:t>Driebeukige hallenkerk met transept en koor. De in 1884 verhoogde toren dateert uit de tweede helft van de 15e eeuw. De zijbeuken van het schip dateren uit 1868 en zijn ontworpen door H.J. Wennekers. Transept en koor zijn in 1914-15 gebouwd naar ontwerp van W. te Riele.</w:t>
      </w:r>
    </w:p>
    <w:p>
      <w:pPr>
        <w:pStyle w:val="T1"/>
        <w:jc w:val="start"/>
        <w:rPr>
          <w:i/>
          <w:i/>
          <w:iCs/>
          <w:lang w:val="nl-NL"/>
        </w:rPr>
      </w:pPr>
      <w:r>
        <w:rPr>
          <w:i/>
          <w:iCs/>
          <w:lang w:val="nl-NL"/>
        </w:rPr>
      </w:r>
    </w:p>
    <w:p>
      <w:pPr>
        <w:pStyle w:val="T1"/>
        <w:jc w:val="start"/>
        <w:rPr>
          <w:lang w:val="nl-NL"/>
        </w:rPr>
      </w:pPr>
      <w:r>
        <w:rPr>
          <w:lang w:val="nl-NL"/>
        </w:rPr>
        <w:t>Kas: 1898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orgel met een eenvoudig neogotisch front, dat elders in de kerk heeft gestaan, maar dat op de huidige plaats goed tot zijn recht komt. Het staat in de ondiepe linker transeptarm van de kerk die precies ruimte biedt aan het instrument. </w:t>
      </w:r>
      <w:r>
        <w:rPr/>
        <w:t xml:space="preserve">De kant waar het pijpwerk zich in het front laat zien is, gedacht vanuit de lengteas van de kerk, de kant naar het altaar. De hoek van het instrument, die uitsteekt, accentueert die ‘denkrichting’. Het is een bescheiden, maar logisch ontwerp, dat goed past in de ruimte. </w:t>
      </w:r>
      <w:r>
        <w:rPr>
          <w:lang w:val="nl-NL"/>
        </w:rPr>
        <w:t xml:space="preserve">Verder is het instrument eenvoudig, maar fraai gedecoreerd: aan de lange zijde van het instrument driedelig traceerwerk, daarboven een spitsboogfries, met daarop toten. </w:t>
      </w:r>
      <w:r>
        <w:rPr/>
        <w:t>De hoeken zijn bekroond van pinakels, het rechter pijpveld is voorzien van een tootboog. Het belangrijkste element van het ontwerp, de hoektoren, is achthoekig en geblindeerd met een reeks tootbogen. Onder de toren hangt een elegant zuiltje.</w:t>
      </w:r>
    </w:p>
    <w:p>
      <w:pPr>
        <w:pStyle w:val="T2Kunst"/>
        <w:jc w:val="start"/>
        <w:rPr>
          <w:rFonts w:ascii="CG Times;Times New Roman" w:hAnsi="CG Times;Times New Roman" w:cs="CG Times;Times New Roman"/>
          <w:szCs w:val="24"/>
        </w:rPr>
      </w:pPr>
      <w:r>
        <w:rPr>
          <w:rFonts w:cs="CG Times;Times New Roman" w:ascii="CG Times;Times New Roman" w:hAnsi="CG Times;Times New Roman"/>
          <w:szCs w:val="24"/>
        </w:rPr>
      </w:r>
    </w:p>
    <w:p>
      <w:pPr>
        <w:pStyle w:val="T3Lit"/>
        <w:jc w:val="start"/>
        <w:rPr>
          <w:b/>
          <w:b/>
          <w:bCs/>
          <w:lang w:val="nl-NL"/>
        </w:rPr>
      </w:pPr>
      <w:r>
        <w:rPr>
          <w:b/>
          <w:bCs/>
          <w:lang w:val="nl-NL"/>
        </w:rPr>
        <w:t>Literatuur</w:t>
      </w:r>
    </w:p>
    <w:p>
      <w:pPr>
        <w:pStyle w:val="T3Lit"/>
        <w:jc w:val="start"/>
        <w:rPr/>
      </w:pPr>
      <w:r>
        <w:rPr>
          <w:lang w:val="nl-NL"/>
        </w:rPr>
        <w:t xml:space="preserve">J.F. van Os, </w:t>
      </w:r>
      <w:r>
        <w:rPr>
          <w:i/>
          <w:iCs/>
          <w:lang w:val="nl-NL"/>
        </w:rPr>
        <w:t>Oude orgels in Oost-Gelderland</w:t>
      </w:r>
      <w:r>
        <w:rPr>
          <w:lang w:val="nl-NL"/>
        </w:rPr>
        <w:t>. Elburg, 2003, 65.</w:t>
      </w:r>
    </w:p>
    <w:p>
      <w:pPr>
        <w:pStyle w:val="T3Lit"/>
        <w:jc w:val="start"/>
        <w:rPr>
          <w:lang w:val="nl-NL"/>
        </w:rPr>
      </w:pPr>
      <w:r>
        <w:rPr>
          <w:lang w:val="nl-NL"/>
        </w:rPr>
      </w:r>
    </w:p>
    <w:p>
      <w:pPr>
        <w:pStyle w:val="T3Lit"/>
        <w:jc w:val="start"/>
        <w:rPr>
          <w:lang w:val="nl-NL"/>
        </w:rPr>
      </w:pPr>
      <w:r>
        <w:rPr>
          <w:lang w:val="nl-NL"/>
        </w:rPr>
        <w:t>Monumentnummer 514893</w:t>
      </w:r>
    </w:p>
    <w:p>
      <w:pPr>
        <w:pStyle w:val="T3Lit"/>
        <w:jc w:val="start"/>
        <w:rPr>
          <w:lang w:val="nl-NL"/>
        </w:rPr>
      </w:pPr>
      <w:r>
        <w:rPr>
          <w:lang w:val="nl-NL"/>
        </w:rPr>
        <w:t>Orgelnummer 135</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1898</w:t>
      </w:r>
    </w:p>
    <w:p>
      <w:pPr>
        <w:pStyle w:val="T1"/>
        <w:jc w:val="start"/>
        <w:rPr>
          <w:lang w:val="nl-NL"/>
        </w:rPr>
      </w:pPr>
      <w:r>
        <w:rPr>
          <w:lang w:val="nl-NL"/>
        </w:rPr>
      </w:r>
    </w:p>
    <w:p>
      <w:pPr>
        <w:pStyle w:val="T1"/>
        <w:jc w:val="start"/>
        <w:rPr>
          <w:lang w:val="nl-NL"/>
        </w:rPr>
      </w:pPr>
      <w:r>
        <w:rPr>
          <w:lang w:val="nl-NL"/>
        </w:rPr>
        <w:t>J.J. Elbertse &amp; Zn 1989</w:t>
      </w:r>
    </w:p>
    <w:p>
      <w:pPr>
        <w:pStyle w:val="T1"/>
        <w:numPr>
          <w:ilvl w:val="0"/>
          <w:numId w:val="2"/>
        </w:numPr>
        <w:jc w:val="start"/>
        <w:rPr>
          <w:lang w:val="nl-NL"/>
        </w:rPr>
      </w:pPr>
      <w:r>
        <w:rPr>
          <w:lang w:val="nl-NL"/>
        </w:rPr>
        <w:t>orgel verplaatst van oksaal naar Noordertransept</w:t>
      </w:r>
    </w:p>
    <w:p>
      <w:pPr>
        <w:pStyle w:val="T1"/>
        <w:numPr>
          <w:ilvl w:val="0"/>
          <w:numId w:val="2"/>
        </w:numPr>
        <w:jc w:val="start"/>
        <w:rPr>
          <w:lang w:val="nl-NL"/>
        </w:rPr>
      </w:pPr>
      <w:r>
        <w:rPr>
          <w:lang w:val="nl-NL"/>
        </w:rPr>
        <w:t>klaviatuur aan andere zijde orgel aangebracht</w:t>
      </w:r>
    </w:p>
    <w:p>
      <w:pPr>
        <w:pStyle w:val="T1"/>
        <w:numPr>
          <w:ilvl w:val="0"/>
          <w:numId w:val="2"/>
        </w:numPr>
        <w:jc w:val="start"/>
        <w:rPr/>
      </w:pPr>
      <w:r>
        <w:rPr>
          <w:lang w:val="nl-NL"/>
        </w:rPr>
        <w:t>C-c</w:t>
      </w:r>
      <w:r>
        <w:rPr>
          <w:vertAlign w:val="superscript"/>
          <w:lang w:val="nl-NL"/>
        </w:rPr>
        <w:t>1</w:t>
      </w:r>
      <w:r>
        <w:rPr>
          <w:lang w:val="nl-NL"/>
        </w:rPr>
        <w:t xml:space="preserve"> Cornet gewijzigd van 2 2/3' in 2'</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80" w:type="dxa"/>
        <w:jc w:val="start"/>
        <w:tblInd w:w="-70" w:type="dxa"/>
        <w:tblLayout w:type="fixed"/>
        <w:tblCellMar>
          <w:top w:w="0" w:type="dxa"/>
          <w:start w:w="70" w:type="dxa"/>
          <w:bottom w:w="0" w:type="dxa"/>
          <w:end w:w="70" w:type="dxa"/>
        </w:tblCellMar>
      </w:tblPr>
      <w:tblGrid>
        <w:gridCol w:w="1737"/>
        <w:gridCol w:w="643"/>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Openfluit</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Salicet</w:t>
            </w:r>
          </w:p>
          <w:p>
            <w:pPr>
              <w:pStyle w:val="T4dispositie"/>
              <w:rPr>
                <w:lang w:val="nl-NL"/>
              </w:rPr>
            </w:pPr>
            <w:r>
              <w:rPr>
                <w:lang w:val="nl-NL"/>
              </w:rPr>
              <w:t>Cornet</w:t>
            </w:r>
          </w:p>
        </w:tc>
        <w:tc>
          <w:tcPr>
            <w:tcW w:w="64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trede Prestant 8'</w:t>
      </w:r>
    </w:p>
    <w:p>
      <w:pPr>
        <w:pStyle w:val="T1"/>
        <w:jc w:val="start"/>
        <w:rPr>
          <w:lang w:val="nl-NL"/>
        </w:rPr>
      </w:pPr>
      <w:r>
        <w:rPr>
          <w:lang w:val="nl-NL"/>
        </w:rPr>
        <w:t>ventiel (buiten gebruik)</w:t>
      </w:r>
    </w:p>
    <w:p>
      <w:pPr>
        <w:pStyle w:val="T1"/>
        <w:jc w:val="start"/>
        <w:rPr>
          <w:lang w:val="nl-NL"/>
        </w:rPr>
      </w:pPr>
      <w:r>
        <w:rPr>
          <w:lang w:val="nl-NL"/>
        </w:rPr>
      </w:r>
    </w:p>
    <w:p>
      <w:pPr>
        <w:pStyle w:val="T1"/>
        <w:jc w:val="start"/>
        <w:rPr>
          <w:lang w:val="nl-NL"/>
        </w:rPr>
      </w:pPr>
      <w:r>
        <w:rPr>
          <w:lang w:val="nl-NL"/>
        </w:rPr>
        <w:t>Samenstelling vulstem</w:t>
      </w:r>
    </w:p>
    <w:tbl>
      <w:tblPr>
        <w:tblW w:w="2025" w:type="dxa"/>
        <w:jc w:val="start"/>
        <w:tblInd w:w="-70" w:type="dxa"/>
        <w:tblLayout w:type="fixed"/>
        <w:tblCellMar>
          <w:top w:w="0" w:type="dxa"/>
          <w:start w:w="70" w:type="dxa"/>
          <w:bottom w:w="0" w:type="dxa"/>
          <w:end w:w="70" w:type="dxa"/>
        </w:tblCellMar>
      </w:tblPr>
      <w:tblGrid>
        <w:gridCol w:w="893"/>
        <w:gridCol w:w="403"/>
        <w:gridCol w:w="729"/>
      </w:tblGrid>
      <w:tr>
        <w:trPr/>
        <w:tc>
          <w:tcPr>
            <w:tcW w:w="893" w:type="dxa"/>
            <w:tcBorders/>
          </w:tcPr>
          <w:p>
            <w:pPr>
              <w:pStyle w:val="T1"/>
              <w:jc w:val="start"/>
              <w:rPr>
                <w:lang w:val="nl-NL"/>
              </w:rPr>
            </w:pPr>
            <w:r>
              <w:rPr>
                <w:lang w:val="nl-NL"/>
              </w:rPr>
              <w:t>Cornet</w:t>
            </w:r>
          </w:p>
        </w:tc>
        <w:tc>
          <w:tcPr>
            <w:tcW w:w="403" w:type="dxa"/>
            <w:tcBorders/>
          </w:tcPr>
          <w:p>
            <w:pPr>
              <w:pStyle w:val="T4dispositie"/>
              <w:rPr>
                <w:lang w:val="nl-NL"/>
              </w:rPr>
            </w:pPr>
            <w:r>
              <w:rPr>
                <w:lang w:val="nl-NL"/>
              </w:rPr>
              <w:t>C</w:t>
            </w:r>
          </w:p>
          <w:p>
            <w:pPr>
              <w:pStyle w:val="T4dispositie"/>
              <w:rPr>
                <w:lang w:val="nl-NL"/>
              </w:rPr>
            </w:pPr>
            <w:r>
              <w:rPr>
                <w:lang w:val="nl-NL"/>
              </w:rPr>
              <w:t>2</w:t>
            </w:r>
          </w:p>
        </w:tc>
        <w:tc>
          <w:tcPr>
            <w:tcW w:w="729" w:type="dxa"/>
            <w:tcBorders/>
          </w:tcPr>
          <w:p>
            <w:pPr>
              <w:pStyle w:val="T4dispositie"/>
              <w:rPr/>
            </w:pPr>
            <w:r>
              <w:rPr>
                <w:lang w:val="nl-NL"/>
              </w:rPr>
              <w:t>cis</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schepbalg (1898)</w:t>
      </w:r>
    </w:p>
    <w:p>
      <w:pPr>
        <w:pStyle w:val="T1"/>
        <w:jc w:val="start"/>
        <w:rPr>
          <w:lang w:val="nl-NL"/>
        </w:rPr>
      </w:pPr>
      <w:r>
        <w:rPr>
          <w:lang w:val="nl-NL"/>
        </w:rPr>
        <w:t>Winddruk</w:t>
      </w:r>
    </w:p>
    <w:p>
      <w:pPr>
        <w:pStyle w:val="T1"/>
        <w:jc w:val="start"/>
        <w:rPr>
          <w:lang w:val="nl-NL"/>
        </w:rPr>
      </w:pPr>
      <w:r>
        <w:rPr>
          <w:lang w:val="nl-NL"/>
        </w:rPr>
        <w:t>87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oorspronkelijke delen van de orgelkas zijn van eiken. Het grootste deel van de kasdelen uit 1989 (achterwand en delen zijwanden) zijn gefineerd.</w:t>
      </w:r>
    </w:p>
    <w:p>
      <w:pPr>
        <w:pStyle w:val="T1"/>
        <w:jc w:val="start"/>
        <w:rPr>
          <w:lang w:val="nl-NL"/>
        </w:rPr>
      </w:pPr>
      <w:r>
        <w:rPr>
          <w:lang w:val="nl-NL"/>
        </w:rPr>
        <w:t>De magazijnbalg bevindt zich in de onderkas. De handpomp, die oorspronkelijk naast de klaviatuur was aangebracht, is afgezaagd.</w:t>
      </w:r>
    </w:p>
    <w:p>
      <w:pPr>
        <w:pStyle w:val="T1"/>
        <w:jc w:val="start"/>
        <w:rPr/>
      </w:pPr>
      <w:r>
        <w:rPr>
          <w:lang w:val="nl-NL"/>
        </w:rPr>
        <w:t xml:space="preserve">De klaviatuur bevindt zich thans aan de linkerzijde van het instrument; oorspronkelijk was deze aan de andere zijde aangebracht. De registertrekkers zijn rond. De knoppen hebben opschriften in gotische letters en zijn onder de lessenaar aangebracht. Rechts van het pedaalklavier bevindt zich een trede, gekoppeld aan de sleep voor de Prestant 8', om dit register in- of uit te schakelen. Boven de klaviatuur bevindt zich een koperen plaquette met de tekst: </w:t>
      </w:r>
      <w:r>
        <w:rPr>
          <w:i/>
          <w:iCs/>
          <w:lang w:val="nl-NL"/>
        </w:rPr>
        <w:t>Geschenk / der Parochianen van Beek / bij gelegenheid van het / vijf en twintig jarig priesterfeest / van hunnen Pastoor C. Verheul / Beek 15 Augustus 1898</w:t>
      </w:r>
      <w:r>
        <w:rPr>
          <w:lang w:val="nl-NL"/>
        </w:rPr>
        <w:t>.</w:t>
      </w:r>
    </w:p>
    <w:p>
      <w:pPr>
        <w:pStyle w:val="T1"/>
        <w:jc w:val="start"/>
        <w:rPr>
          <w:lang w:val="nl-NL"/>
        </w:rPr>
      </w:pPr>
      <w:r>
        <w:rPr>
          <w:lang w:val="nl-NL"/>
        </w:rPr>
        <w:t>De windlade is chromatisch met de kleinste pijpen aan de klaviatuurzijde.</w:t>
      </w:r>
    </w:p>
    <w:p>
      <w:pPr>
        <w:pStyle w:val="T1"/>
        <w:jc w:val="start"/>
        <w:rPr/>
      </w:pPr>
      <w:r>
        <w:rPr>
          <w:lang w:val="nl-NL"/>
        </w:rPr>
        <w:t>De frontpijpen zijn loos en ouder dan de rest van het orgel. Met uitzondering van enkele pijpen van de Cornet zijn alle binnenpijpen uit 1898. C-H van de Openfluit 8' is gecombineerd met de Bourdon 8'. Het groot octaaf van dit laatste register is van hout. C-H van de Viola di Gamba 8' (metaal, open) zijn van de lade afgevoerd. De Fluit 4' is van C-h gedekt, het vervolg is open, cilindrisch. Van de Cornet dateren g-c</w:t>
      </w:r>
      <w:r>
        <w:rPr>
          <w:vertAlign w:val="superscript"/>
          <w:lang w:val="nl-NL"/>
        </w:rPr>
        <w:t>1</w:t>
      </w:r>
      <w:r>
        <w:rPr>
          <w:lang w:val="nl-NL"/>
        </w:rPr>
        <w:t xml:space="preserve"> uit 1989.</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ages>3</Pages>
  <Words>559</Words>
  <Characters>2949</Characters>
  <CharactersWithSpaces>3433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2008-05-05T13:32:00Z</dcterms:created>
  <dc:creator>WS1</dc:creator>
  <dc:description/>
  <dc:language>en-US</dc:language>
  <cp:lastModifiedBy>NIvO</cp:lastModifiedBy>
  <dcterms:modified xsi:type="dcterms:W3CDTF">2008-05-05T13:32:00Z</dcterms:modified>
  <cp:revision>2</cp:revision>
  <dc:subject/>
  <dc:title>Heumen / ca 1860</dc:title>
</cp:coreProperties>
</file>