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Kloosterburen / 1898</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lisenen en spitsboogvensters, gebouwd in 1843 tegen de toren van de vorige kerk. Toren met zadeldak uit 1658 met daarin een klok uit 1501 van Gerard van Wou. Interieur uit de bouwtijd.</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De meeste frontontwerpen van het huis Van Oeckelen zijn duidelijk geïnspireerd door 18e-eeuwse Groningse voorbeelden, met name door werk van Albertus Anthonie Hinsz en diens opvolgers. Voor het oeuvre van de gebroeders Van Oeckelen geldt dit in nog sterkere mate dan voor dat van hun vader. Voor het vijfledige frontontwerp te Kloosterburen, en ook dat van de Kloosterkerk te Ter Apel (1905) met een geronde middentoren, spitse hoektorens en aan de bovenzijden recht afgesloten tussenvelden, lijkt de inspiratie echter in een nog vroegere periode gevonden te zijn. Namelijk in de eerste decennia van de 18e eeuw, in fronten van Arp Schnitger en van diens navolger Matthias Amoor. Die vroeg 18e-eeuwse inspiratie is zelfs zo sterk dat wel verondersteld is, naar gebleken is ten onrechte, dat de Van Oeckelens in 1898 een oudere orgelkas hebben hergebruikt. Klassiek is voorts het labiumverloop, in zowel de torens als de tussenvelden in een V-vorm. Het snijwerk lijkt door zijn grillige vormen mede door het rococo te zijn te zijn geïnspireerd. Putti op de zijtorens en een, misschien van het vorige Van Oeckelen-orgel (1847) in deze kerk afkomstige, versierde lier vormen de kasbekroningen. Opmerkelijk zijn de snijwerk-overbruggingen van de bovenlijsten van de zijtorens en de tussenvelden naar de middentoren; wederom een Gronings element dat als zodanig ongeveer twee eeuwen ouder is dan het orgel te Kloosterburen.</w:t>
      </w:r>
    </w:p>
    <w:p>
      <w:pPr>
        <w:pStyle w:val="T2Kunst"/>
        <w:jc w:val="start"/>
        <w:rPr>
          <w:lang w:val="nl-NL"/>
        </w:rPr>
      </w:pPr>
      <w:r>
        <w:rPr>
          <w:lang w:val="nl-NL"/>
        </w:rPr>
        <w:t>De in de onderkas prominent aangebrachte namen van de schenkster van het orgel en de toenmalige kerkvoogden brengen ons echter terug in het jaar 1898.</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1 Hunsingo</w:t>
      </w:r>
      <w:r>
        <w:rPr>
          <w:lang w:val="nl-NL"/>
        </w:rPr>
        <w:t>. Groningen, 1994, 40-41.</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t>Orgelarchief Peter van Dijk.</w:t>
      </w:r>
    </w:p>
    <w:p>
      <w:pPr>
        <w:pStyle w:val="T3Lit"/>
        <w:jc w:val="start"/>
        <w:rPr>
          <w:lang w:val="nl-NL"/>
        </w:rPr>
      </w:pPr>
      <w:r>
        <w:rPr>
          <w:lang w:val="nl-NL"/>
        </w:rPr>
        <w:t>Orgelarchief Stef Tuinstra.</w:t>
      </w:r>
    </w:p>
    <w:p>
      <w:pPr>
        <w:pStyle w:val="T3Lit"/>
        <w:jc w:val="start"/>
        <w:rPr>
          <w:lang w:val="nl-NL"/>
        </w:rPr>
      </w:pPr>
      <w:r>
        <w:rPr>
          <w:lang w:val="nl-NL"/>
        </w:rPr>
      </w:r>
    </w:p>
    <w:p>
      <w:pPr>
        <w:pStyle w:val="T3Lit"/>
        <w:jc w:val="start"/>
        <w:rPr>
          <w:lang w:val="nl-NL"/>
        </w:rPr>
      </w:pPr>
      <w:r>
        <w:rPr>
          <w:lang w:val="nl-NL"/>
        </w:rPr>
        <w:t>Monumentnummer 23668</w:t>
      </w:r>
    </w:p>
    <w:p>
      <w:pPr>
        <w:pStyle w:val="T3Lit"/>
        <w:jc w:val="start"/>
        <w:rPr>
          <w:lang w:val="nl-NL"/>
        </w:rPr>
      </w:pPr>
      <w:r>
        <w:rPr>
          <w:lang w:val="nl-NL"/>
        </w:rPr>
        <w:t>Orgelnummer 786</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H. Vegter 1936</w:t>
      </w:r>
    </w:p>
    <w:p>
      <w:pPr>
        <w:pStyle w:val="T1"/>
        <w:numPr>
          <w:ilvl w:val="0"/>
          <w:numId w:val="2"/>
        </w:numPr>
        <w:jc w:val="start"/>
        <w:rPr/>
      </w:pPr>
      <w:r>
        <w:rPr>
          <w:lang w:val="nl-NL"/>
        </w:rPr>
        <w:t>omvang pedaalklavier vergroot van C-a tot 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Orgelmakerij Bakker &amp; Timmenga 1993</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Prestand</w:t>
            </w:r>
          </w:p>
          <w:p>
            <w:pPr>
              <w:pStyle w:val="T4dispositie"/>
              <w:jc w:val="start"/>
              <w:rPr>
                <w:lang w:val="nl-NL"/>
              </w:rPr>
            </w:pPr>
            <w:r>
              <w:rPr>
                <w:lang w:val="nl-NL"/>
              </w:rPr>
              <w:t>Holpijp</w:t>
            </w:r>
          </w:p>
          <w:p>
            <w:pPr>
              <w:pStyle w:val="T4dispositie"/>
              <w:jc w:val="start"/>
              <w:rPr>
                <w:lang w:val="nl-NL"/>
              </w:rPr>
            </w:pPr>
            <w:r>
              <w:rPr>
                <w:lang w:val="nl-NL"/>
              </w:rPr>
              <w:t>Viola da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schokbalg en handpomp (1898)</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vervangt een Van Oeckelen-orgel uit 1847 waarvan de lotgevallen vooralsnog onbekend zijn.</w:t>
      </w:r>
    </w:p>
    <w:p>
      <w:pPr>
        <w:pStyle w:val="T1"/>
        <w:jc w:val="start"/>
        <w:rPr>
          <w:lang w:val="nl-NL"/>
        </w:rPr>
      </w:pPr>
      <w:r>
        <w:rPr>
          <w:lang w:val="nl-NL"/>
        </w:rPr>
        <w:t>De registertrekkers zijn in een horizontale rij boven de muzieklessenaar geplaatst, de naamplaatjes zijn in de registerknoppen aangebracht. De bakstukken wijken af van het gebruikelijke Van Oeckelen-beeld: ze zijn belegd met mahonie en voorzien van ivoren randen.</w:t>
      </w:r>
    </w:p>
    <w:p>
      <w:pPr>
        <w:pStyle w:val="T1"/>
        <w:jc w:val="start"/>
        <w:rPr>
          <w:lang w:val="nl-NL"/>
        </w:rPr>
      </w:pPr>
      <w:r>
        <w:rPr>
          <w:lang w:val="nl-NL"/>
        </w:rPr>
        <w:t>De achterzijde van de onderkas is uitgebouwd ten behoeve van de balgconstructie. De handpomp bevindt zich aan de linkerzijde van de kas, in de uitbouw.</w:t>
      </w:r>
    </w:p>
    <w:p>
      <w:pPr>
        <w:pStyle w:val="T1"/>
        <w:jc w:val="start"/>
        <w:rPr>
          <w:lang w:val="nl-NL"/>
        </w:rPr>
      </w:pPr>
      <w:r>
        <w:rPr>
          <w:lang w:val="nl-NL"/>
        </w:rPr>
        <w:t>Er is één in hele tonen ingedeelde windlade; daarop staan C en Cis aan de buitenzijden vervolgens in hele tonen naar het midden aflopend. De voorslagen zijn vastgezet met behulp van klosjes en houten schroeven.</w:t>
      </w:r>
    </w:p>
    <w:p>
      <w:pPr>
        <w:pStyle w:val="T1"/>
        <w:jc w:val="start"/>
        <w:rPr/>
      </w:pPr>
      <w:r>
        <w:rPr>
          <w:lang w:val="nl-NL"/>
        </w:rPr>
        <w:t>De Bourdon 16' begint op c; c-h zijn van hout. De Prestant 8' is van C-E gedekt (hout), de grootste frontpijp is F. De Viola di Gamba 8' is van C-H gecombineerd met de Holpijp 8' (hout). De Fluit 4' is van C-H gedekt, van c- f</w:t>
      </w:r>
      <w:r>
        <w:rPr>
          <w:vertAlign w:val="superscript"/>
          <w:lang w:val="nl-NL"/>
        </w:rPr>
        <w:t>2</w:t>
      </w:r>
      <w:r>
        <w:rPr>
          <w:lang w:val="nl-NL"/>
        </w:rPr>
        <w:t xml:space="preserve"> open cilindrisch, en verder open, conisch.</w:t>
      </w:r>
    </w:p>
    <w:p>
      <w:pPr>
        <w:pStyle w:val="T1"/>
        <w:jc w:val="start"/>
        <w:rPr>
          <w:lang w:val="nl-NL"/>
        </w:rPr>
      </w:pPr>
      <w:r>
        <w:rPr>
          <w:lang w:val="nl-NL"/>
        </w:rPr>
        <w:t>Het instrument is, afgezien van de uitbreiding van de pedaalomvang, volledig gaaf bewaard gebleven.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vertAlign w:val="superscript"/>
        <w:szCs w:val="24"/>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Cs w:val="24"/>
      <w:vertAlign w:val="superscript"/>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2008-05-05T13:38:00Z</dcterms:created>
  <dc:creator>WS1</dc:creator>
  <dc:description/>
  <dc:language>en-US</dc:language>
  <cp:lastModifiedBy>NIvO</cp:lastModifiedBy>
  <cp:lastPrinted>2113-01-01T00:00:00Z</cp:lastPrinted>
  <dcterms:modified xsi:type="dcterms:W3CDTF">2008-05-05T13:38:00Z</dcterms:modified>
  <cp:revision>2</cp:revision>
  <dc:subject/>
  <dc:title>Wirdum / 1879</dc:title>
</cp:coreProperties>
</file>