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Uitgeest / 1898</w:t>
      </w:r>
    </w:p>
    <w:p>
      <w:pPr>
        <w:pStyle w:val="Heading2"/>
        <w:rPr>
          <w:i w:val="false"/>
          <w:i w:val="false"/>
          <w:iCs/>
        </w:rPr>
      </w:pPr>
      <w:r>
        <w:rPr>
          <w:i w:val="false"/>
          <w:iCs/>
        </w:rPr>
        <w:t>R.K. Kerk Onze Lieve Vrouwe Geboorte</w:t>
      </w:r>
    </w:p>
    <w:p>
      <w:pPr>
        <w:pStyle w:val="T1"/>
        <w:jc w:val="start"/>
        <w:rPr>
          <w:i/>
          <w:i/>
          <w:iCs/>
          <w:lang w:val="nl-NL"/>
        </w:rPr>
      </w:pPr>
      <w:r>
        <w:rPr>
          <w:i/>
          <w:iCs/>
          <w:lang w:val="nl-NL"/>
        </w:rPr>
      </w:r>
    </w:p>
    <w:p>
      <w:pPr>
        <w:pStyle w:val="T1"/>
        <w:jc w:val="start"/>
        <w:rPr>
          <w:i/>
          <w:i/>
          <w:iCs/>
          <w:lang w:val="nl-NL"/>
        </w:rPr>
      </w:pPr>
      <w:r>
        <w:rPr>
          <w:i/>
          <w:iCs/>
          <w:lang w:val="nl-NL"/>
        </w:rPr>
        <w:t>Driebeukige neogotische kerk met zadeldak uit 1884 naar ontwerp van E.J. Margry. Schip met vijf traveeën, transept over de breedte van het schip en koor van één travee met abscis bestaande uit zes zijden van een tienhoek, geflankeerd door twee rechthoekige kapellen.</w:t>
      </w:r>
    </w:p>
    <w:p>
      <w:pPr>
        <w:pStyle w:val="T1"/>
        <w:jc w:val="start"/>
        <w:rPr>
          <w:lang w:val="nl-NL"/>
        </w:rPr>
      </w:pPr>
      <w:r>
        <w:rPr>
          <w:i/>
          <w:iCs/>
          <w:lang w:val="nl-NL"/>
        </w:rPr>
        <w:t>De middenbeuk is gedekt door een houten spitsboog tongewelf, de zijbeuken door gemetselde kruisribgewelven. De originele glas-in-lood vensters en de inrichting zijn grotendeels behouden.</w:t>
      </w:r>
    </w:p>
    <w:p>
      <w:pPr>
        <w:pStyle w:val="T1"/>
        <w:jc w:val="start"/>
        <w:rPr>
          <w:lang w:val="nl-NL"/>
        </w:rPr>
      </w:pPr>
      <w:r>
        <w:rPr>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3Lit"/>
        <w:jc w:val="start"/>
        <w:rPr>
          <w:rFonts w:ascii="Arial" w:hAnsi="Arial" w:cs="Arial"/>
          <w:sz w:val="24"/>
          <w:lang w:val="nl-NL"/>
        </w:rPr>
      </w:pPr>
      <w:r>
        <w:rPr>
          <w:sz w:val="24"/>
          <w:lang w:val="nl-NL"/>
        </w:rPr>
        <w:t xml:space="preserve">Een neogotisch front dat dankzij uitgekiende verhoudingen een opmerkelijke eenheid en grandeur uitstraalt. Twee trapeziumvormige hoektorens hebben hun equivalent in kleinere torens in het midden. Deze zijn aan de onderzijde sterk verhoogd, maar steken de hoektorens niet naar de kroon omdat ze aan de bovenzijde slechts iets hoger zijn opgetrokken. Het labiumverloop bij de kleine torens is net als bij de hoektorens recht. De torens hebben eenzelfde dak ter bekroning en dezelfde blinderingen. Ook de velden hebben gelijke blinderingen, waarbij die van het middenveld gedeeld is. De krachtige rechthoekige vorm van de tussenvelden word visueel versterkt door de rijk bewerkte boven- en onderlijst, en natuurlijk het beschilderde traceerwerk daaronder. De labiumlijnen en de blinderingen van de tussenvelden verlopen in tegengestelde beweging en hebben tevens een duidelijk richting: de buitenste velden markeren de overgang van de kleine torens naar de hoektorens. </w:t>
      </w:r>
      <w:r>
        <w:rPr>
          <w:sz w:val="24"/>
        </w:rPr>
        <w:t xml:space="preserve">De vorm van het middenveld is niet meer dan een logische voortzetting van de andere twee tussenvelden. </w:t>
      </w:r>
      <w:r>
        <w:rPr>
          <w:sz w:val="24"/>
          <w:lang w:val="nl-NL"/>
        </w:rPr>
        <w:t>De fijnmazigheid van het decoratiewerk versterkt de grandeur nog eens. Opmerkelijk is de balustrade met zijn grove en felgekleurde traliewerk.</w:t>
      </w:r>
    </w:p>
    <w:p>
      <w:pPr>
        <w:pStyle w:val="T3Lit"/>
        <w:jc w:val="start"/>
        <w:rPr>
          <w:rFonts w:ascii="Arial" w:hAnsi="Arial" w:cs="Arial"/>
          <w:sz w:val="24"/>
          <w:lang w:val="nl-NL"/>
        </w:rPr>
      </w:pPr>
      <w:r>
        <w:rPr>
          <w:rFonts w:cs="Arial" w:ascii="Arial" w:hAnsi="Arial"/>
          <w:sz w:val="24"/>
          <w:lang w:val="nl-NL"/>
        </w:rPr>
      </w:r>
    </w:p>
    <w:p>
      <w:pPr>
        <w:pStyle w:val="T3Lit"/>
        <w:rPr>
          <w:b/>
          <w:b/>
          <w:bCs/>
          <w:lang w:val="nl-NL"/>
        </w:rPr>
      </w:pPr>
      <w:r>
        <w:rPr>
          <w:b/>
          <w:bCs/>
          <w:lang w:val="nl-NL"/>
        </w:rPr>
        <w:t>Literatuur</w:t>
      </w:r>
    </w:p>
    <w:p>
      <w:pPr>
        <w:pStyle w:val="T3Lit"/>
        <w:jc w:val="start"/>
        <w:rPr/>
      </w:pPr>
      <w:r>
        <w:rPr>
          <w:lang w:val="nl-NL"/>
        </w:rPr>
        <w:t xml:space="preserve">Lex Lases (red), </w:t>
      </w:r>
      <w:r>
        <w:rPr>
          <w:i/>
          <w:iCs/>
          <w:lang w:val="nl-NL"/>
        </w:rPr>
        <w:t>Adema 150 jaar orgelbouw</w:t>
      </w:r>
      <w:r>
        <w:rPr>
          <w:lang w:val="nl-NL"/>
        </w:rPr>
        <w:t>. Hillegom, 2006, 28-29.</w:t>
      </w:r>
    </w:p>
    <w:p>
      <w:pPr>
        <w:pStyle w:val="T3Lit"/>
        <w:rPr/>
      </w:pPr>
      <w:r>
        <w:rPr>
          <w:bCs/>
          <w:i/>
          <w:lang w:val="nl-NL"/>
        </w:rPr>
        <w:t>De Orgelkrant</w:t>
      </w:r>
      <w:r>
        <w:rPr>
          <w:bCs/>
          <w:lang w:val="nl-NL"/>
        </w:rPr>
        <w:t>, 4/4 (1999), 2.</w:t>
      </w:r>
    </w:p>
    <w:p>
      <w:pPr>
        <w:pStyle w:val="T3Lit"/>
        <w:rPr>
          <w:bCs/>
          <w:lang w:val="nl-NL"/>
        </w:rPr>
      </w:pPr>
      <w:r>
        <w:rPr>
          <w:bCs/>
          <w:lang w:val="nl-NL"/>
        </w:rPr>
      </w:r>
    </w:p>
    <w:p>
      <w:pPr>
        <w:pStyle w:val="T3Lit"/>
        <w:rPr>
          <w:lang w:val="nl-NL"/>
        </w:rPr>
      </w:pPr>
      <w:r>
        <w:rPr>
          <w:b/>
          <w:bCs/>
          <w:lang w:val="nl-NL"/>
        </w:rPr>
        <w:t>Niet gepubliceerde bronnen</w:t>
      </w:r>
    </w:p>
    <w:p>
      <w:pPr>
        <w:pStyle w:val="T3Lit"/>
        <w:rPr>
          <w:lang w:val="nl-NL"/>
        </w:rPr>
      </w:pPr>
      <w:r>
        <w:rPr>
          <w:lang w:val="nl-NL"/>
        </w:rPr>
        <w:t>Adema-documentatie Ton van Eck en Victor Timmer.</w:t>
      </w:r>
    </w:p>
    <w:p>
      <w:pPr>
        <w:pStyle w:val="T3Lit"/>
        <w:rPr>
          <w:lang w:val="nl-NL"/>
        </w:rPr>
      </w:pPr>
      <w:r>
        <w:rPr>
          <w:lang w:val="nl-NL"/>
        </w:rPr>
        <w:t>Archief Adema’s Kerkorgelbouw.</w:t>
      </w:r>
    </w:p>
    <w:p>
      <w:pPr>
        <w:pStyle w:val="T3Lit"/>
        <w:rPr>
          <w:lang w:val="nl-NL"/>
        </w:rPr>
      </w:pPr>
      <w:r>
        <w:rPr>
          <w:lang w:val="nl-NL"/>
        </w:rPr>
      </w:r>
    </w:p>
    <w:p>
      <w:pPr>
        <w:pStyle w:val="T3Lit"/>
        <w:jc w:val="start"/>
        <w:rPr>
          <w:lang w:val="nl-NL"/>
        </w:rPr>
      </w:pPr>
      <w:r>
        <w:rPr>
          <w:lang w:val="nl-NL"/>
        </w:rPr>
        <w:t>Orgelnummer 1957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P.J. Adema &amp; Zoon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H. Schreurs 1953</w:t>
      </w:r>
    </w:p>
    <w:p>
      <w:pPr>
        <w:pStyle w:val="T1"/>
        <w:numPr>
          <w:ilvl w:val="0"/>
          <w:numId w:val="3"/>
        </w:numPr>
        <w:jc w:val="start"/>
        <w:rPr>
          <w:lang w:val="nl-NL"/>
        </w:rPr>
      </w:pPr>
      <w:r>
        <w:rPr>
          <w:lang w:val="nl-NL"/>
        </w:rPr>
        <w:t>restauratie</w:t>
      </w:r>
    </w:p>
    <w:p>
      <w:pPr>
        <w:pStyle w:val="T1"/>
        <w:numPr>
          <w:ilvl w:val="0"/>
          <w:numId w:val="2"/>
        </w:numPr>
        <w:jc w:val="start"/>
        <w:rPr>
          <w:lang w:val="nl-NL"/>
        </w:rPr>
      </w:pPr>
      <w:r>
        <w:rPr>
          <w:lang w:val="nl-NL"/>
        </w:rPr>
        <w:t>dispositiewijzigingen:</w:t>
      </w:r>
    </w:p>
    <w:p>
      <w:pPr>
        <w:pStyle w:val="T1"/>
        <w:ind w:firstLine="708"/>
        <w:jc w:val="start"/>
        <w:rPr>
          <w:lang w:val="nl-NL"/>
        </w:rPr>
      </w:pPr>
      <w:r>
        <w:rPr>
          <w:lang w:val="nl-NL"/>
        </w:rPr>
        <w:t>HW - Violon 8', - Fluit harmoniek 4', + Trompet 8' (van Rec), + Roerfluit 4' (van Rec)</w:t>
      </w:r>
    </w:p>
    <w:p>
      <w:pPr>
        <w:pStyle w:val="T1"/>
        <w:ind w:firstLine="708"/>
        <w:jc w:val="start"/>
        <w:rPr>
          <w:lang w:val="nl-NL"/>
        </w:rPr>
      </w:pPr>
      <w:r>
        <w:rPr>
          <w:lang w:val="nl-NL"/>
        </w:rPr>
        <w:t>Rec - Trompet 8', - Roerfluit 4', + Sesquialter 1-2 st., + Fluit harmoniek 4' (van HW)</w:t>
      </w:r>
    </w:p>
    <w:p>
      <w:pPr>
        <w:pStyle w:val="T1"/>
        <w:jc w:val="start"/>
        <w:rPr>
          <w:lang w:val="nl-NL"/>
        </w:rPr>
      </w:pPr>
      <w:r>
        <w:rPr>
          <w:lang w:val="nl-NL"/>
        </w:rPr>
      </w:r>
    </w:p>
    <w:p>
      <w:pPr>
        <w:pStyle w:val="T1"/>
        <w:jc w:val="start"/>
        <w:rPr>
          <w:lang w:val="nl-NL"/>
        </w:rPr>
      </w:pPr>
      <w:r>
        <w:rPr>
          <w:lang w:val="nl-NL"/>
        </w:rPr>
        <w:t>H. Schreurs 1977</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reciet,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35"/>
        <w:gridCol w:w="1605"/>
        <w:gridCol w:w="720"/>
        <w:gridCol w:w="1093"/>
        <w:gridCol w:w="887"/>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Salicionaal</w:t>
            </w:r>
          </w:p>
          <w:p>
            <w:pPr>
              <w:pStyle w:val="T4dispositie"/>
              <w:rPr>
                <w:lang w:val="nl-NL"/>
              </w:rPr>
            </w:pPr>
            <w:r>
              <w:rPr>
                <w:lang w:val="nl-NL"/>
              </w:rPr>
              <w:t>Fluit harmoniek</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Mixtuur</w:t>
            </w:r>
          </w:p>
          <w:p>
            <w:pPr>
              <w:pStyle w:val="T4dispositie"/>
              <w:rPr>
                <w:lang w:val="nl-NL"/>
              </w:rPr>
            </w:pPr>
            <w:r>
              <w:rPr>
                <w:lang w:val="nl-NL"/>
              </w:rPr>
              <w:t>Trompet harmoniek</w:t>
            </w:r>
          </w:p>
        </w:tc>
        <w:tc>
          <w:tcPr>
            <w:tcW w:w="73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r>
              <w:rPr>
                <w:lang w:val="en-GB"/>
              </w:rPr>
              <w:t>'</w:t>
            </w:r>
          </w:p>
          <w:p>
            <w:pPr>
              <w:pStyle w:val="T4dispositie"/>
              <w:rPr/>
            </w:pPr>
            <w:r>
              <w:rPr/>
              <w:t>2-4 st.</w:t>
            </w:r>
          </w:p>
          <w:p>
            <w:pPr>
              <w:pStyle w:val="T4dispositie"/>
              <w:rPr/>
            </w:pPr>
            <w:r>
              <w:rPr/>
              <w:t>8'</w:t>
            </w:r>
          </w:p>
        </w:tc>
        <w:tc>
          <w:tcPr>
            <w:tcW w:w="1605" w:type="dxa"/>
            <w:tcBorders/>
          </w:tcPr>
          <w:p>
            <w:pPr>
              <w:pStyle w:val="T4dispositie"/>
              <w:rPr>
                <w:i/>
                <w:i/>
                <w:iCs/>
              </w:rPr>
            </w:pPr>
            <w:r>
              <w:rPr>
                <w:i/>
                <w:iCs/>
              </w:rPr>
              <w:t>Reciet (II)</w:t>
            </w:r>
          </w:p>
          <w:p>
            <w:pPr>
              <w:pStyle w:val="T4dispositie"/>
              <w:rPr/>
            </w:pPr>
            <w:r>
              <w:rPr/>
              <w:t>9 stemmen</w:t>
            </w:r>
          </w:p>
          <w:p>
            <w:pPr>
              <w:pStyle w:val="T4dispositie"/>
              <w:rPr/>
            </w:pPr>
            <w:r>
              <w:rPr/>
            </w:r>
          </w:p>
          <w:p>
            <w:pPr>
              <w:pStyle w:val="T4dispositie"/>
              <w:rPr/>
            </w:pPr>
            <w:r>
              <w:rPr/>
              <w:t>Bourdon</w:t>
            </w:r>
          </w:p>
          <w:p>
            <w:pPr>
              <w:pStyle w:val="T4dispositie"/>
              <w:rPr/>
            </w:pPr>
            <w:r>
              <w:rPr/>
              <w:t>Quintadeen</w:t>
            </w:r>
          </w:p>
          <w:p>
            <w:pPr>
              <w:pStyle w:val="T4dispositie"/>
              <w:rPr/>
            </w:pPr>
            <w:r>
              <w:rPr/>
              <w:t>Viola</w:t>
            </w:r>
          </w:p>
          <w:p>
            <w:pPr>
              <w:pStyle w:val="T4dispositie"/>
              <w:rPr/>
            </w:pPr>
            <w:r>
              <w:rPr/>
              <w:t>Vox coelestis</w:t>
            </w:r>
          </w:p>
          <w:p>
            <w:pPr>
              <w:pStyle w:val="T4dispositie"/>
              <w:rPr/>
            </w:pPr>
            <w:r>
              <w:rPr/>
              <w:t>Fluit harmoniek</w:t>
            </w:r>
          </w:p>
          <w:p>
            <w:pPr>
              <w:pStyle w:val="T4dispositie"/>
              <w:rPr/>
            </w:pPr>
            <w:r>
              <w:rPr/>
              <w:t>Piccolo</w:t>
            </w:r>
          </w:p>
          <w:p>
            <w:pPr>
              <w:pStyle w:val="T4dispositie"/>
              <w:rPr/>
            </w:pPr>
            <w:r>
              <w:rPr/>
              <w:t>Sesquialter</w:t>
            </w:r>
          </w:p>
          <w:p>
            <w:pPr>
              <w:pStyle w:val="T4dispositie"/>
              <w:rPr/>
            </w:pPr>
            <w:r>
              <w:rPr/>
              <w:t>Fagot-Hobo</w:t>
            </w:r>
          </w:p>
          <w:p>
            <w:pPr>
              <w:pStyle w:val="T4dispositie"/>
              <w:rPr/>
            </w:pPr>
            <w:r>
              <w:rPr/>
              <w:t>Vox humana</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lang w:val="nl-NL"/>
              </w:rPr>
            </w:pPr>
            <w:r>
              <w:rPr>
                <w:lang w:val="nl-NL"/>
              </w:rPr>
              <w:t>1-2 st.</w:t>
            </w:r>
          </w:p>
          <w:p>
            <w:pPr>
              <w:pStyle w:val="T4dispositie"/>
              <w:rPr>
                <w:lang w:val="nl-NL"/>
              </w:rPr>
            </w:pPr>
            <w:r>
              <w:rPr>
                <w:lang w:val="nl-NL"/>
              </w:rPr>
              <w:t>8'</w:t>
            </w:r>
          </w:p>
          <w:p>
            <w:pPr>
              <w:pStyle w:val="T4dispositie"/>
              <w:rPr>
                <w:lang w:val="nl-NL"/>
              </w:rPr>
            </w:pPr>
            <w:r>
              <w:rPr>
                <w:lang w:val="nl-NL"/>
              </w:rPr>
              <w:t>8'</w:t>
            </w:r>
          </w:p>
        </w:tc>
        <w:tc>
          <w:tcPr>
            <w:tcW w:w="1093" w:type="dxa"/>
            <w:tcBorders/>
          </w:tcPr>
          <w:p>
            <w:pPr>
              <w:pStyle w:val="T4dispositie"/>
              <w:rPr>
                <w:i/>
                <w:i/>
                <w:iCs/>
                <w:lang w:val="nl-NL"/>
              </w:rPr>
            </w:pPr>
            <w:r>
              <w:rPr>
                <w:i/>
                <w:iCs/>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Openbas</w:t>
            </w:r>
          </w:p>
          <w:p>
            <w:pPr>
              <w:pStyle w:val="T4dispositie"/>
              <w:rPr/>
            </w:pPr>
            <w:r>
              <w:rPr/>
              <w:t>Openfluit</w:t>
            </w:r>
          </w:p>
        </w:tc>
        <w:tc>
          <w:tcPr>
            <w:tcW w:w="887"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(als treden) HW-Rec, Ped-HW, Ped-Rec, totaalkoppel</w:t>
      </w:r>
    </w:p>
    <w:p>
      <w:pPr>
        <w:pStyle w:val="T1"/>
        <w:jc w:val="start"/>
        <w:rPr>
          <w:lang w:val="nl-NL"/>
        </w:rPr>
      </w:pPr>
      <w:r>
        <w:rPr>
          <w:lang w:val="nl-NL"/>
        </w:rPr>
        <w:t>trede zwelkast Rec</w:t>
      </w:r>
    </w:p>
    <w:p>
      <w:pPr>
        <w:pStyle w:val="T1"/>
        <w:jc w:val="start"/>
        <w:rPr>
          <w:lang w:val="nl-NL"/>
        </w:rPr>
      </w:pPr>
      <w:r>
        <w:rPr>
          <w:lang w:val="nl-NL"/>
        </w:rPr>
        <w:t>vier vaste combinaties-oplosser (drukknoppen)</w:t>
      </w:r>
    </w:p>
    <w:p>
      <w:pPr>
        <w:pStyle w:val="T1"/>
        <w:jc w:val="start"/>
        <w:rPr>
          <w:lang w:val="nl-NL"/>
        </w:rPr>
      </w:pPr>
      <w:r>
        <w:rPr>
          <w:lang w:val="nl-NL"/>
        </w:rPr>
        <w:t>tremulant Rec</w:t>
      </w:r>
    </w:p>
    <w:p>
      <w:pPr>
        <w:pStyle w:val="T1"/>
        <w:jc w:val="start"/>
        <w:rPr>
          <w:lang w:val="nl-NL"/>
        </w:rPr>
      </w:pPr>
      <w:r>
        <w:rPr>
          <w:lang w:val="nl-NL"/>
        </w:rPr>
      </w:r>
    </w:p>
    <w:p>
      <w:pPr>
        <w:pStyle w:val="T1"/>
        <w:jc w:val="start"/>
        <w:rPr>
          <w:lang w:val="nl-NL"/>
        </w:rPr>
      </w:pPr>
      <w:r>
        <w:rPr>
          <w:lang w:val="nl-NL"/>
        </w:rPr>
        <w:t>Samenstelling vulstemmen</w:t>
      </w:r>
    </w:p>
    <w:tbl>
      <w:tblPr>
        <w:tblW w:w="3670" w:type="dxa"/>
        <w:jc w:val="start"/>
        <w:tblInd w:w="-70" w:type="dxa"/>
        <w:tblLayout w:type="fixed"/>
        <w:tblCellMar>
          <w:top w:w="0" w:type="dxa"/>
          <w:start w:w="70" w:type="dxa"/>
          <w:bottom w:w="0" w:type="dxa"/>
          <w:end w:w="70" w:type="dxa"/>
        </w:tblCellMar>
      </w:tblPr>
      <w:tblGrid>
        <w:gridCol w:w="151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T1"/>
              <w:jc w:val="start"/>
              <w:rPr>
                <w:lang w:val="fr-FR"/>
              </w:rPr>
            </w:pPr>
            <w:r>
              <w:rPr>
                <w:lang w:val="fr-FR"/>
              </w:rPr>
              <w:t>Sesquialter Rec</w:t>
            </w:r>
          </w:p>
        </w:tc>
        <w:tc>
          <w:tcPr>
            <w:tcW w:w="720" w:type="dxa"/>
            <w:tcBorders/>
          </w:tcPr>
          <w:p>
            <w:pPr>
              <w:pStyle w:val="T4dispositie"/>
              <w:rPr>
                <w:lang w:val="fr-FR"/>
              </w:rPr>
            </w:pPr>
            <w:r>
              <w:rPr>
                <w:lang w:val="fr-FR"/>
              </w:rPr>
              <w:t>C</w:t>
            </w:r>
          </w:p>
          <w:p>
            <w:pPr>
              <w:pStyle w:val="T4dispositie"/>
              <w:rPr>
                <w:lang w:val="fr-FR"/>
              </w:rPr>
            </w:pPr>
            <w:r>
              <w:rPr>
                <w:lang w:val="fr-FR"/>
              </w:rPr>
              <w:t>2 2/3</w:t>
            </w:r>
          </w:p>
        </w:tc>
        <w:tc>
          <w:tcPr>
            <w:tcW w:w="720" w:type="dxa"/>
            <w:tcBorders/>
          </w:tcPr>
          <w:p>
            <w:pPr>
              <w:pStyle w:val="T4dispositie"/>
              <w:rPr>
                <w:lang w:val="fr-FR"/>
              </w:rPr>
            </w:pPr>
            <w:r>
              <w:rPr>
                <w:lang w:val="fr-FR"/>
              </w:rPr>
              <w:t>f</w:t>
            </w:r>
          </w:p>
          <w:p>
            <w:pPr>
              <w:pStyle w:val="T4dispositie"/>
              <w:rPr>
                <w:lang w:val="fr-FR"/>
              </w:rPr>
            </w:pPr>
            <w:r>
              <w:rPr>
                <w:lang w:val="fr-FR"/>
              </w:rPr>
              <w:t>2 2/3</w:t>
            </w:r>
          </w:p>
          <w:p>
            <w:pPr>
              <w:pStyle w:val="T4dispositie"/>
              <w:rPr>
                <w:lang w:val="fr-FR"/>
              </w:rPr>
            </w:pPr>
            <w:r>
              <w:rPr>
                <w:lang w:val="fr-FR"/>
              </w:rPr>
              <w:t>1 3/5</w:t>
            </w:r>
          </w:p>
        </w:tc>
      </w:tr>
    </w:tbl>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magazijnbalgen 110 mm, regulateurs 89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tussen de beide kassen</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Dit is het eerste pneumatische orgel van de Amsterdamse firma Adema. Het regeerwerk bestaat uit pneumatische membraanladen volgens het systeem Nöhren ('voetjesladen' functionerend met hoge en lage druk), de relais voorzien van extra stations. De c</w:t>
      </w:r>
      <w:r>
        <w:rPr>
          <w:szCs w:val="24"/>
          <w:lang w:val="nl-NL"/>
        </w:rPr>
        <w:t>onducten voor de pneumatiek zijn deels van lood en deels van rood koper.</w:t>
      </w:r>
    </w:p>
    <w:p>
      <w:pPr>
        <w:pStyle w:val="T1"/>
        <w:jc w:val="start"/>
        <w:rPr>
          <w:szCs w:val="24"/>
          <w:lang w:val="nl-NL"/>
        </w:rPr>
      </w:pPr>
      <w:r>
        <w:rPr>
          <w:szCs w:val="24"/>
          <w:lang w:val="nl-NL"/>
        </w:rPr>
        <w:t>Het HW bevindt zich links in de bovenkas; daarachter staat het Ped. Het Rec staat recht in de bovenkas, haaks op het front met de discantlade boven en de baslade onder. De windladen zijn van eiken. De lade van het HW is ingedeeld in hele tonen van buiten naar binnen toe aflopend. De laden van Ped en Rec zijn chromatisch ingedeeld.</w:t>
      </w:r>
    </w:p>
    <w:p>
      <w:pPr>
        <w:pStyle w:val="T1"/>
        <w:jc w:val="start"/>
        <w:rPr>
          <w:szCs w:val="24"/>
          <w:lang w:val="nl-NL"/>
        </w:rPr>
      </w:pPr>
      <w:r>
        <w:rPr>
          <w:rStyle w:val="CharacterStyle1"/>
          <w:rFonts w:cs="Times New Roman"/>
          <w:sz w:val="24"/>
          <w:szCs w:val="24"/>
          <w:lang w:val="nl-NL"/>
        </w:rPr>
        <w:t>Het houten pijpwerk is van grenen, met eiken stemschuiven, kernen, voeten en stoppen. Het gedekte metalen pijpwerk heeft zowel metalen hoeden als ronde houten stoppen. Het metalen pijpwerk is overwegend van Duitse makelij en afkomstig van Biehr en Laukhuff (Quintadeen).</w:t>
      </w:r>
    </w:p>
    <w:p>
      <w:pPr>
        <w:pStyle w:val="T1"/>
        <w:jc w:val="start"/>
        <w:rPr/>
      </w:pPr>
      <w:r>
        <w:rPr>
          <w:szCs w:val="24"/>
          <w:lang w:val="nl-NL"/>
        </w:rPr>
        <w:t xml:space="preserve">De Prestant 8' (HW) staat van C-dis in het front. De binnenpijpen hebben geperste labia en expressions. C-H van de Bourdon 16' zijn van grenen, afgevoerd; de discant is van metaal met boogvormige opsneden. De Salicionaal 8' staat van C-H in het front en verder op de lade. Alle pijpen met expressions. De binnenpijpen hebben gedrukte labia met </w:t>
      </w:r>
      <w:r>
        <w:rPr>
          <w:i/>
          <w:szCs w:val="24"/>
          <w:lang w:val="nl-NL"/>
        </w:rPr>
        <w:t>traces de bouche</w:t>
      </w:r>
      <w:r>
        <w:rPr>
          <w:iCs/>
          <w:szCs w:val="24"/>
          <w:lang w:val="nl-NL"/>
        </w:rPr>
        <w:t xml:space="preserve">. C-H van de </w:t>
      </w:r>
      <w:r>
        <w:rPr>
          <w:szCs w:val="24"/>
          <w:lang w:val="nl-NL"/>
        </w:rPr>
        <w:t>Fluit harmoniek 8' zijn van grenen (Adema), c-g</w:t>
      </w:r>
      <w:r>
        <w:rPr>
          <w:szCs w:val="24"/>
          <w:vertAlign w:val="superscript"/>
          <w:lang w:val="nl-NL"/>
        </w:rPr>
        <w:t>3</w:t>
      </w:r>
      <w:r>
        <w:rPr>
          <w:szCs w:val="24"/>
          <w:lang w:val="nl-NL"/>
        </w:rPr>
        <w:t xml:space="preserve"> zijn van Duitse makelij met licht boogvormige opsneden en geperste onderlabia. Van dit register zijn c</w:t>
      </w:r>
      <w:r>
        <w:rPr>
          <w:szCs w:val="24"/>
          <w:vertAlign w:val="superscript"/>
          <w:lang w:val="nl-NL"/>
        </w:rPr>
        <w:t>2</w:t>
      </w:r>
      <w:r>
        <w:rPr>
          <w:szCs w:val="24"/>
          <w:lang w:val="nl-NL"/>
        </w:rPr>
        <w:t>-f</w:t>
      </w:r>
      <w:r>
        <w:rPr>
          <w:szCs w:val="24"/>
          <w:vertAlign w:val="superscript"/>
          <w:lang w:val="nl-NL"/>
        </w:rPr>
        <w:t>3</w:t>
      </w:r>
      <w:r>
        <w:rPr>
          <w:szCs w:val="24"/>
          <w:lang w:val="nl-NL"/>
        </w:rPr>
        <w:t xml:space="preserve"> overblazend. De Roerfluit 4' (op plaats Violon) is van metaal (Duitse makelij), C-g</w:t>
      </w:r>
      <w:r>
        <w:rPr>
          <w:szCs w:val="24"/>
          <w:vertAlign w:val="superscript"/>
          <w:lang w:val="nl-NL"/>
        </w:rPr>
        <w:t>2</w:t>
      </w:r>
      <w:r>
        <w:rPr>
          <w:szCs w:val="24"/>
          <w:lang w:val="nl-NL"/>
        </w:rPr>
        <w:t xml:space="preserve"> met roeren, gis</w:t>
      </w:r>
      <w:r>
        <w:rPr>
          <w:szCs w:val="24"/>
          <w:vertAlign w:val="superscript"/>
          <w:lang w:val="nl-NL"/>
        </w:rPr>
        <w:t>2</w:t>
      </w:r>
      <w:r>
        <w:rPr>
          <w:szCs w:val="24"/>
          <w:lang w:val="nl-NL"/>
        </w:rPr>
        <w:t xml:space="preserve"> open, cilindrisch, het vervolg open, conisch. De Octaaf 4' (Duits) heeft geperste labia; </w:t>
      </w:r>
      <w:r>
        <w:rPr>
          <w:rStyle w:val="CharacterStyle2"/>
          <w:rFonts w:cs="Times New Roman"/>
          <w:sz w:val="24"/>
          <w:szCs w:val="24"/>
          <w:lang w:val="nl-NL"/>
        </w:rPr>
        <w:t>C-h</w:t>
      </w:r>
      <w:r>
        <w:rPr>
          <w:rStyle w:val="CharacterStyle2"/>
          <w:rFonts w:cs="Times New Roman"/>
          <w:sz w:val="24"/>
          <w:szCs w:val="24"/>
          <w:vertAlign w:val="superscript"/>
          <w:lang w:val="nl-NL"/>
        </w:rPr>
        <w:t>2</w:t>
      </w:r>
      <w:r>
        <w:rPr>
          <w:rStyle w:val="CharacterStyle2"/>
          <w:rFonts w:cs="Times New Roman"/>
          <w:sz w:val="24"/>
          <w:szCs w:val="24"/>
          <w:lang w:val="nl-NL"/>
        </w:rPr>
        <w:t xml:space="preserve"> met expressions, het vervolg met later aangebrachte stemringen. De Mixtuur (Devos, B) is grotendeels voorzien van expressions. De </w:t>
      </w:r>
      <w:r>
        <w:rPr>
          <w:szCs w:val="24"/>
          <w:lang w:val="nl-NL"/>
        </w:rPr>
        <w:t xml:space="preserve">Trompet 8' (Devos) stond oorspronkelijk op het Rec en heeft dubbele koppen, ronde lepels en rechte kelen, metalen stevels met loodring, </w:t>
      </w:r>
      <w:r>
        <w:rPr>
          <w:rStyle w:val="CharacterStyle2"/>
          <w:rFonts w:cs="Times New Roman"/>
          <w:sz w:val="24"/>
          <w:szCs w:val="24"/>
          <w:lang w:val="nl-NL"/>
        </w:rPr>
        <w:t>bekers alle voorzien van intoneerlappen, f</w:t>
      </w:r>
      <w:r>
        <w:rPr>
          <w:rStyle w:val="CharacterStyle2"/>
          <w:rFonts w:cs="Times New Roman"/>
          <w:sz w:val="24"/>
          <w:szCs w:val="24"/>
          <w:vertAlign w:val="superscript"/>
          <w:lang w:val="nl-NL"/>
        </w:rPr>
        <w:t>2</w:t>
      </w:r>
      <w:r>
        <w:rPr>
          <w:rStyle w:val="CharacterStyle2"/>
          <w:rFonts w:cs="Times New Roman"/>
          <w:sz w:val="24"/>
          <w:szCs w:val="24"/>
          <w:lang w:val="nl-NL"/>
        </w:rPr>
        <w:t>-g</w:t>
      </w:r>
      <w:r>
        <w:rPr>
          <w:rStyle w:val="CharacterStyle2"/>
          <w:rFonts w:cs="Times New Roman"/>
          <w:sz w:val="24"/>
          <w:szCs w:val="24"/>
          <w:vertAlign w:val="superscript"/>
          <w:lang w:val="nl-NL"/>
        </w:rPr>
        <w:t>3</w:t>
      </w:r>
      <w:r>
        <w:rPr>
          <w:rStyle w:val="CharacterStyle2"/>
          <w:rFonts w:cs="Times New Roman"/>
          <w:sz w:val="24"/>
          <w:szCs w:val="24"/>
          <w:lang w:val="nl-NL"/>
        </w:rPr>
        <w:t xml:space="preserve"> dubbele bekerlengte en enkele koppen.</w:t>
      </w:r>
    </w:p>
    <w:p>
      <w:pPr>
        <w:pStyle w:val="T1"/>
        <w:jc w:val="start"/>
        <w:rPr>
          <w:rStyle w:val="CharacterStyle2"/>
          <w:rFonts w:ascii="Times New Roman" w:hAnsi="Times New Roman" w:cs="Times New Roman"/>
          <w:sz w:val="24"/>
          <w:szCs w:val="24"/>
          <w:lang w:val="nl-NL"/>
        </w:rPr>
      </w:pPr>
      <w:r>
        <w:rPr>
          <w:szCs w:val="24"/>
          <w:lang w:val="nl-NL"/>
        </w:rPr>
        <w:t>C-H van de Bourdon 8' (Rec) zijn van grenen (Adema, afgevoerd tegen de zijwand), het vervolg is van metaal (Duits). De Quintadeen 8' is van metaal (Laukhuff) met geperste labia en een hoog tingehalte. C-H metalen hoeden, c-g</w:t>
      </w:r>
      <w:r>
        <w:rPr>
          <w:szCs w:val="24"/>
          <w:vertAlign w:val="superscript"/>
          <w:lang w:val="nl-NL"/>
        </w:rPr>
        <w:t>3</w:t>
      </w:r>
      <w:r>
        <w:rPr>
          <w:szCs w:val="24"/>
          <w:lang w:val="nl-NL"/>
        </w:rPr>
        <w:t xml:space="preserve"> met ronde houten stoppen. De Viola 8' (Duits) heeft geperste labia en expressions; C-a</w:t>
      </w:r>
      <w:r>
        <w:rPr>
          <w:szCs w:val="24"/>
          <w:vertAlign w:val="superscript"/>
          <w:lang w:val="nl-NL"/>
        </w:rPr>
        <w:t>1</w:t>
      </w:r>
      <w:r>
        <w:rPr>
          <w:szCs w:val="24"/>
          <w:lang w:val="nl-NL"/>
        </w:rPr>
        <w:t xml:space="preserve"> met freins. De Vox coelestis 8' begint op fis (Duits fabricaat met expressions); fis-a</w:t>
      </w:r>
      <w:r>
        <w:rPr>
          <w:szCs w:val="24"/>
          <w:vertAlign w:val="superscript"/>
          <w:lang w:val="nl-NL"/>
        </w:rPr>
        <w:t>1</w:t>
      </w:r>
      <w:r>
        <w:rPr>
          <w:szCs w:val="24"/>
          <w:lang w:val="nl-NL"/>
        </w:rPr>
        <w:t xml:space="preserve"> met freins. De Fluit harmoniek 4' (Duits) staat </w:t>
      </w:r>
      <w:r>
        <w:rPr>
          <w:rStyle w:val="CharacterStyle2"/>
          <w:rFonts w:cs="Times New Roman"/>
          <w:sz w:val="24"/>
          <w:szCs w:val="24"/>
          <w:lang w:val="nl-NL"/>
        </w:rPr>
        <w:t xml:space="preserve">op de oorspronkelijke plaats van de Trompet 8'; de discant is overblazend (twee gaatjes). De </w:t>
      </w:r>
      <w:r>
        <w:rPr>
          <w:szCs w:val="24"/>
          <w:lang w:val="nl-NL"/>
        </w:rPr>
        <w:t>Piccolo 2' is van spotted metal; C-e met expressions, f-g</w:t>
      </w:r>
      <w:r>
        <w:rPr>
          <w:szCs w:val="24"/>
          <w:vertAlign w:val="superscript"/>
          <w:lang w:val="nl-NL"/>
        </w:rPr>
        <w:t>3</w:t>
      </w:r>
      <w:r>
        <w:rPr>
          <w:szCs w:val="24"/>
          <w:lang w:val="nl-NL"/>
        </w:rPr>
        <w:t xml:space="preserve"> overblazend (twee gaatjes). De Sesquialter (1953) is van metaal met gewreven labia. De Fagot-Hobo 8' (Devos) heeft enkele koppen. C-h trechtervormige corpora en traankelen, c</w:t>
      </w:r>
      <w:r>
        <w:rPr>
          <w:szCs w:val="24"/>
          <w:vertAlign w:val="superscript"/>
          <w:lang w:val="nl-NL"/>
        </w:rPr>
        <w:t>1</w:t>
      </w:r>
      <w:r>
        <w:rPr>
          <w:szCs w:val="24"/>
          <w:lang w:val="nl-NL"/>
        </w:rPr>
        <w:t>-g</w:t>
      </w:r>
      <w:r>
        <w:rPr>
          <w:szCs w:val="24"/>
          <w:vertAlign w:val="superscript"/>
          <w:lang w:val="nl-NL"/>
        </w:rPr>
        <w:t>3</w:t>
      </w:r>
      <w:r>
        <w:rPr>
          <w:szCs w:val="24"/>
          <w:lang w:val="nl-NL"/>
        </w:rPr>
        <w:t xml:space="preserve"> nauwe trechtervormige corpora met pavillon; Bertounèche kelen. De V</w:t>
      </w:r>
      <w:r>
        <w:rPr>
          <w:lang w:val="nl-NL"/>
        </w:rPr>
        <w:t>ox humana 8' (Devos), heeft cilindrische bekers en een deksel met intonatieklepje.</w:t>
      </w:r>
    </w:p>
    <w:p>
      <w:pPr>
        <w:pStyle w:val="T1"/>
        <w:jc w:val="start"/>
        <w:rPr/>
      </w:pPr>
      <w:r>
        <w:rPr>
          <w:szCs w:val="24"/>
          <w:lang w:val="nl-NL"/>
        </w:rPr>
        <w:t>De Subbas 16' is van Adema (grenen), daarvan zijn b-d</w:t>
      </w:r>
      <w:r>
        <w:rPr>
          <w:szCs w:val="24"/>
          <w:vertAlign w:val="superscript"/>
          <w:lang w:val="nl-NL"/>
        </w:rPr>
        <w:t>1</w:t>
      </w:r>
      <w:r>
        <w:rPr>
          <w:szCs w:val="24"/>
          <w:lang w:val="nl-NL"/>
        </w:rPr>
        <w:t xml:space="preserve"> afgevoerd op bank. De Openbas 8' is van grenen, C-cis met lange voeten. De Openfluit 4' is van spotted metal; C-D met opgeworpen labia, de rest met geperste labia. Alle pijpen met zijbaarden 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man Old Style">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pacing w:val="25"/>
      <w:sz w:val="22"/>
      <w:szCs w:val="22"/>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St2z0">
    <w:name w:val="WW8NumSt2z0"/>
    <w:qFormat/>
    <w:rPr>
      <w:rFonts w:ascii="Symbol" w:hAnsi="Symbol" w:cs="Symbol"/>
      <w:sz w:val="20"/>
      <w:szCs w:val="20"/>
    </w:rPr>
  </w:style>
  <w:style w:type="character" w:styleId="WW8NumSt3z0">
    <w:name w:val="WW8NumSt3z0"/>
    <w:qFormat/>
    <w:rPr>
      <w:rFonts w:ascii="Symbol" w:hAnsi="Symbol" w:cs="Symbol"/>
      <w:spacing w:val="3"/>
      <w:sz w:val="20"/>
      <w:szCs w:val="20"/>
    </w:rPr>
  </w:style>
  <w:style w:type="character" w:styleId="WW8NumSt4z0">
    <w:name w:val="WW8NumSt4z0"/>
    <w:qFormat/>
    <w:rPr>
      <w:rFonts w:ascii="Symbol" w:hAnsi="Symbol" w:cs="Symbol"/>
      <w:sz w:val="20"/>
      <w:szCs w:val="20"/>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CharacterStyle1">
    <w:name w:val="Character Style 1"/>
    <w:qFormat/>
    <w:rPr>
      <w:rFonts w:ascii="Bookman Old Style" w:hAnsi="Bookman Old Style" w:cs="Bookman Old Style"/>
      <w:sz w:val="22"/>
      <w:szCs w:val="22"/>
    </w:rPr>
  </w:style>
  <w:style w:type="character" w:styleId="CharacterStyle2">
    <w:name w:val="Character Style 2"/>
    <w:qFormat/>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2008-05-05T13:40:00Z</dcterms:created>
  <dc:creator>WS1</dc:creator>
  <dc:description/>
  <dc:language>en-US</dc:language>
  <cp:lastModifiedBy>NIvO</cp:lastModifiedBy>
  <cp:lastPrinted>2007-06-07T14:31:00Z</cp:lastPrinted>
  <dcterms:modified xsi:type="dcterms:W3CDTF">2008-05-05T13:40:00Z</dcterms:modified>
  <cp:revision>2</cp:revision>
  <dc:subject/>
  <dc:title>Winschoten / 1883</dc:title>
</cp:coreProperties>
</file>