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Den Ham (GR) / 1899</w:t>
      </w:r>
    </w:p>
    <w:p>
      <w:pPr>
        <w:pStyle w:val="Heading2"/>
        <w:jc w:val="both"/>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Gepleisterde, driezijdig gesloten zaalkerk met een dakruiter, gebouwd in 1729 met gebruikmaking van muurwerk van een 16e-eeuwse voorganger. Dakruiter en westgevel in 1912 vernieuwd. Rondboogvensters met houten traceringen uit 1912. Het sobere interieur dateert grotendeels uit de 19e eeuw.</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Een tamelijk gedrongen orgelfront in neoromaanse stijl die hier wat consequenter is toegepast dan in Rottum (1889, deel 1886-1894, 136-137). </w:t>
      </w:r>
      <w:r>
        <w:rPr/>
        <w:t>Men ziet een driedelige vlakke opbouw met een verlaagde middenpartij. Beide buitenste delen bevatten rondbogige gelobde pijpenvelden met een rechte labiumlijn en eindigen aan de bovenzijde in een flauwe puntgevel, in de top bekroond door een soort driebladige bloem en op beide hoeken door een gebogen bladrank. De middenpartij is aan de onderzijde voorzien van een in een benedenwaarts gerichte punt uitlopende blindering, die correspondeert met het V-vormige labiumverloop. In deze blindering zijn twee tondi met vierpassen uitgespaard. Aan de bovenzijde van dit veld drie rondbogen, waarvan de middelste groter is. Boven de middelste rondboog een kleine puntgevel, bekroond door een lelievormig akroterium. Onder de rand van de gevels is steeds een rondboogfries aangebracht.</w:t>
      </w:r>
    </w:p>
    <w:p>
      <w:pPr>
        <w:pStyle w:val="T2Kunst"/>
        <w:jc w:val="start"/>
        <w:rPr/>
      </w:pPr>
      <w:r>
        <w:rPr/>
        <w:t xml:space="preserve">De benedenzone van het front wordt gevormd door een driedelige borstwering met rondboogfriezen. </w:t>
      </w:r>
      <w:r>
        <w:rPr>
          <w:lang w:val="nl-NL"/>
        </w:rPr>
        <w:t xml:space="preserve">Op het middelste paneel een opschrift dat Menno Willemsen, een landbouwer uit de omgeving, die het orgel bij legaat had geschonken, in herinnering moet houden: </w:t>
      </w:r>
      <w:r>
        <w:rPr>
          <w:i/>
          <w:iCs/>
          <w:lang w:val="nl-NL"/>
        </w:rPr>
        <w:t>Geschenk van / Menno Willemsen / overleden 6 Dec. 1898</w:t>
      </w:r>
      <w:r>
        <w:rPr>
          <w:lang w:val="nl-NL"/>
        </w:rPr>
        <w:t>.</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44-45.</w:t>
      </w:r>
    </w:p>
    <w:p>
      <w:pPr>
        <w:pStyle w:val="T3Lit"/>
        <w:rPr/>
      </w:pPr>
      <w:r>
        <w:rPr>
          <w:i/>
          <w:iCs/>
          <w:lang w:val="nl-NL"/>
        </w:rPr>
        <w:t>Kerkelijke Courant</w:t>
      </w:r>
      <w:r>
        <w:rPr>
          <w:lang w:val="nl-NL"/>
        </w:rPr>
        <w:t>, 53/50 (1899).</w:t>
      </w:r>
    </w:p>
    <w:p>
      <w:pPr>
        <w:pStyle w:val="T3Lit"/>
        <w:rPr>
          <w:lang w:val="nl-NL"/>
        </w:rPr>
      </w:pPr>
      <w:r>
        <w:rPr>
          <w:lang w:val="nl-NL"/>
        </w:rPr>
      </w:r>
    </w:p>
    <w:p>
      <w:pPr>
        <w:pStyle w:val="T3Lit"/>
        <w:rPr>
          <w:lang w:val="nl-NL"/>
        </w:rPr>
      </w:pPr>
      <w:r>
        <w:rPr>
          <w:b/>
          <w:bCs/>
          <w:lang w:val="nl-NL"/>
        </w:rPr>
        <w:t>Niet gepubliceerde bronnen</w:t>
      </w:r>
    </w:p>
    <w:p>
      <w:pPr>
        <w:pStyle w:val="T3Lit"/>
        <w:rPr/>
      </w:pPr>
      <w:r>
        <w:rPr>
          <w:lang w:val="nl-NL"/>
        </w:rPr>
        <w:t xml:space="preserve">Jan Jongepier, </w:t>
      </w:r>
      <w:r>
        <w:rPr>
          <w:i/>
          <w:iCs/>
          <w:lang w:val="nl-NL"/>
        </w:rPr>
        <w:t>Het orgel in de voormalige Hervormde Kerk te Den Ham</w:t>
      </w:r>
      <w:r>
        <w:rPr>
          <w:lang w:val="nl-NL"/>
        </w:rPr>
        <w:t>. Leeuwarden, 2001.</w:t>
      </w:r>
    </w:p>
    <w:p>
      <w:pPr>
        <w:pStyle w:val="T3Lit"/>
        <w:rPr>
          <w:lang w:val="nl-NL"/>
        </w:rPr>
      </w:pPr>
      <w:r>
        <w:rPr>
          <w:lang w:val="nl-NL"/>
        </w:rPr>
        <w:t>SKKN, dossier Den Ham NHK, inventarisrapport 1998.</w:t>
      </w:r>
    </w:p>
    <w:p>
      <w:pPr>
        <w:pStyle w:val="T3Li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A. Bik 1944</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Orgelmakerij Bakker &amp; Timmenga 1979</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pPr>
      <w:r>
        <w:rPr/>
        <w:t>Onbekend moment</w:t>
      </w:r>
    </w:p>
    <w:p>
      <w:pPr>
        <w:pStyle w:val="T1"/>
        <w:numPr>
          <w:ilvl w:val="0"/>
          <w:numId w:val="2"/>
        </w:numPr>
        <w:jc w:val="start"/>
        <w:rPr/>
      </w:pPr>
      <w:r>
        <w:rPr/>
        <w:t>registermechaniek gewijzigd</w:t>
      </w:r>
    </w:p>
    <w:p>
      <w:pPr>
        <w:pStyle w:val="T1"/>
        <w:jc w:val="start"/>
        <w:rPr/>
      </w:pPr>
      <w:r>
        <w:rPr/>
      </w:r>
    </w:p>
    <w:p>
      <w:pPr>
        <w:pStyle w:val="T1"/>
        <w:jc w:val="start"/>
        <w:rPr/>
      </w:pPr>
      <w:r>
        <w:rPr/>
        <w:t>Mense Ruiter Orgelmakers 2002</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registermechaniek in oorspronkelijke staat teruggebracht</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418" w:type="dxa"/>
        <w:jc w:val="start"/>
        <w:tblInd w:w="-70" w:type="dxa"/>
        <w:tblLayout w:type="fixed"/>
        <w:tblCellMar>
          <w:top w:w="0" w:type="dxa"/>
          <w:start w:w="70" w:type="dxa"/>
          <w:bottom w:w="0" w:type="dxa"/>
          <w:end w:w="70" w:type="dxa"/>
        </w:tblCellMar>
      </w:tblPr>
      <w:tblGrid>
        <w:gridCol w:w="2050"/>
        <w:gridCol w:w="368"/>
      </w:tblGrid>
      <w:tr>
        <w:trPr/>
        <w:tc>
          <w:tcPr>
            <w:tcW w:w="2050"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en-GB"/>
              </w:rPr>
            </w:pPr>
            <w:r>
              <w:rPr>
                <w:lang w:val="en-GB"/>
              </w:rPr>
              <w:t>Octaaf</w:t>
            </w:r>
          </w:p>
          <w:p>
            <w:pPr>
              <w:pStyle w:val="T4dispositie"/>
              <w:rPr>
                <w:lang w:val="en-GB"/>
              </w:rPr>
            </w:pPr>
            <w:r>
              <w:rPr>
                <w:lang w:val="en-GB"/>
              </w:rPr>
              <w:t>Fluit</w:t>
            </w:r>
          </w:p>
          <w:p>
            <w:pPr>
              <w:pStyle w:val="T4dispositie"/>
              <w:rPr>
                <w:lang w:val="en-GB"/>
              </w:rPr>
            </w:pPr>
            <w:r>
              <w:rPr>
                <w:lang w:val="en-GB"/>
              </w:rPr>
              <w:t>Octaaf</w:t>
            </w:r>
          </w:p>
        </w:tc>
        <w:tc>
          <w:tcPr>
            <w:tcW w:w="368"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C-c</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handpomp (1899)</w:t>
      </w:r>
    </w:p>
    <w:p>
      <w:pPr>
        <w:pStyle w:val="T1"/>
        <w:rPr>
          <w:lang w:val="nl-NL"/>
        </w:rPr>
      </w:pPr>
      <w:r>
        <w:rPr>
          <w:lang w:val="nl-NL"/>
        </w:rPr>
        <w:t>Winddruk</w:t>
      </w:r>
    </w:p>
    <w:p>
      <w:pPr>
        <w:pStyle w:val="T1"/>
        <w:rPr>
          <w:lang w:val="nl-NL"/>
        </w:rPr>
      </w:pPr>
      <w:r>
        <w:rPr>
          <w:lang w:val="nl-NL"/>
        </w:rPr>
        <w:t>60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Het orgel heeft een kegellade. </w:t>
      </w:r>
      <w:r>
        <w:rPr/>
        <w:t xml:space="preserve">De speeltractuur en registerbediening zijn mechanisch. </w:t>
      </w:r>
      <w:r>
        <w:rPr>
          <w:lang w:val="nl-NL"/>
        </w:rPr>
        <w:t>Het eenvoudig uitgevoerde handklavier zou ouder dan het jaar van oplevering kunnen zijn. Het eiken pedaalklavier heeft korte boventoetsen van gelijke maatvoering met een ‘Groningse’ detaillering. Het windtoestel is naast het orgel op de galerij geplaatst.</w:t>
      </w:r>
    </w:p>
    <w:p>
      <w:pPr>
        <w:pStyle w:val="T1"/>
        <w:jc w:val="start"/>
        <w:rPr/>
      </w:pPr>
      <w:r>
        <w:rPr>
          <w:lang w:val="nl-NL"/>
        </w:rPr>
        <w:t>De pijpvolgorde op de windlade is als volgt: d</w:t>
      </w:r>
      <w:r>
        <w:rPr>
          <w:vertAlign w:val="superscript"/>
          <w:lang w:val="nl-NL"/>
        </w:rPr>
        <w:t>1</w:t>
      </w:r>
      <w:r>
        <w:rPr>
          <w:lang w:val="nl-NL"/>
        </w:rPr>
        <w:t xml:space="preserve"> b fis d B Fis D C E Gis c e gis c</w:t>
      </w:r>
      <w:r>
        <w:rPr>
          <w:vertAlign w:val="superscript"/>
          <w:lang w:val="nl-NL"/>
        </w:rPr>
        <w:t>1</w:t>
      </w:r>
      <w:r>
        <w:rPr>
          <w:lang w:val="nl-NL"/>
        </w:rPr>
        <w:t xml:space="preserve"> e</w:t>
      </w:r>
      <w:r>
        <w:rPr>
          <w:vertAlign w:val="superscript"/>
          <w:lang w:val="nl-NL"/>
        </w:rPr>
        <w:t>1</w:t>
      </w:r>
      <w:r>
        <w:rPr>
          <w:lang w:val="nl-NL"/>
        </w:rPr>
        <w:t>/e</w:t>
      </w:r>
      <w:r>
        <w:rPr>
          <w:vertAlign w:val="superscript"/>
          <w:lang w:val="nl-NL"/>
        </w:rPr>
        <w:t>3</w:t>
      </w:r>
      <w:r>
        <w:rPr>
          <w:lang w:val="nl-NL"/>
        </w:rPr>
        <w:t xml:space="preserve"> (hele tonen) fis</w:t>
      </w:r>
      <w:r>
        <w:rPr>
          <w:vertAlign w:val="superscript"/>
          <w:lang w:val="nl-NL"/>
        </w:rPr>
        <w:t>1</w:t>
      </w:r>
      <w:r>
        <w:rPr>
          <w:lang w:val="nl-NL"/>
        </w:rPr>
        <w:t>/g</w:t>
      </w:r>
      <w:r>
        <w:rPr>
          <w:vertAlign w:val="superscript"/>
          <w:lang w:val="nl-NL"/>
        </w:rPr>
        <w:t>1</w:t>
      </w:r>
      <w:r>
        <w:rPr>
          <w:lang w:val="nl-NL"/>
        </w:rPr>
        <w:t xml:space="preserve"> (hele tonen) f</w:t>
      </w:r>
      <w:r>
        <w:rPr>
          <w:vertAlign w:val="superscript"/>
          <w:lang w:val="nl-NL"/>
        </w:rPr>
        <w:t>3</w:t>
      </w:r>
      <w:r>
        <w:rPr>
          <w:lang w:val="nl-NL"/>
        </w:rPr>
        <w:t>/f</w:t>
      </w:r>
      <w:r>
        <w:rPr>
          <w:vertAlign w:val="superscript"/>
          <w:lang w:val="nl-NL"/>
        </w:rPr>
        <w:t>1</w:t>
      </w:r>
      <w:r>
        <w:rPr>
          <w:lang w:val="nl-NL"/>
        </w:rPr>
        <w:t xml:space="preserve"> cis</w:t>
      </w:r>
      <w:r>
        <w:rPr>
          <w:vertAlign w:val="superscript"/>
          <w:lang w:val="nl-NL"/>
        </w:rPr>
        <w:t>1</w:t>
      </w:r>
      <w:r>
        <w:rPr>
          <w:lang w:val="nl-NL"/>
        </w:rPr>
        <w:t xml:space="preserve"> a f cis A F Cis Dis G H dis g h dis</w:t>
      </w:r>
      <w:r>
        <w:rPr>
          <w:vertAlign w:val="superscript"/>
          <w:lang w:val="nl-NL"/>
        </w:rPr>
        <w:t>1</w:t>
      </w:r>
      <w:r>
        <w:rPr>
          <w:lang w:val="nl-NL"/>
        </w:rPr>
        <w:t>.</w:t>
      </w:r>
    </w:p>
    <w:p>
      <w:pPr>
        <w:pStyle w:val="T1"/>
        <w:jc w:val="start"/>
        <w:rPr/>
      </w:pPr>
      <w:r>
        <w:rPr>
          <w:lang w:val="nl-NL"/>
        </w:rPr>
        <w:t>De Prestant 8' is van C-H gecombineerd met de Holpijp 8'. In het front spreken c-b</w:t>
      </w:r>
      <w:r>
        <w:rPr>
          <w:vertAlign w:val="superscript"/>
          <w:lang w:val="nl-NL"/>
        </w:rPr>
        <w:t>2</w:t>
      </w:r>
      <w:r>
        <w:rPr>
          <w:lang w:val="nl-NL"/>
        </w:rPr>
        <w:t>. Twee registers zijn geheel van hout: de Bourdon D 16' en de Holpijp 8'. De Fluit 4' heeft houten pijpen voor C-H. Het overige binnenpijpwerk is van metaal.</w:t>
      </w:r>
    </w:p>
    <w:p>
      <w:pPr>
        <w:pStyle w:val="T1"/>
        <w:jc w:val="start"/>
        <w:rPr/>
      </w:pPr>
      <w:r>
        <w:rPr>
          <w:lang w:val="nl-NL"/>
        </w:rPr>
        <w:t>De frontpijpen en de pijpen van de Octaaf 2' hebben geperste labia en zullen zeker uit 1899 dateren. De zeven binnenpijpen van de Prestant 8' lijken in 1899 uit versneden ouder materiaal te zijn gemaakt. Het pijpwerk van de Octaaf 4' en dat van de Fluit 4' (vanaf c) lijkt ouder dan 1899 te zijn. Afgaande op de inscripties heeft dit pijpwerk in ieder geval ooit een andere functie gehad. De Fluit 4' is van C-h</w:t>
      </w:r>
      <w:r>
        <w:rPr>
          <w:vertAlign w:val="superscript"/>
          <w:lang w:val="nl-NL"/>
        </w:rPr>
        <w:t>1</w:t>
      </w:r>
      <w:r>
        <w:rPr>
          <w:lang w:val="nl-NL"/>
        </w:rPr>
        <w:t xml:space="preserve"> gedekt en verder open, cilindrisch. Vrijwel alle open metalen pijpen zijn van expressions of stemkrullen voorzien. De Octaaf 2' is vanaf e</w:t>
      </w:r>
      <w:r>
        <w:rPr>
          <w:vertAlign w:val="superscript"/>
          <w:lang w:val="nl-NL"/>
        </w:rPr>
        <w:t>2</w:t>
      </w:r>
      <w:r>
        <w:rPr>
          <w:lang w:val="nl-NL"/>
        </w:rPr>
        <w:t xml:space="preserve"> op lengte afgesneden.</w:t>
      </w:r>
    </w:p>
    <w:p>
      <w:pPr>
        <w:pStyle w:val="T1"/>
        <w:jc w:val="start"/>
        <w:rPr/>
      </w:pPr>
      <w:r>
        <w:rPr>
          <w:lang w:val="nl-NL"/>
        </w:rPr>
        <w:t>De houten pijpen zijn van verschillende makelij: Bourdon D 16' c</w:t>
      </w:r>
      <w:r>
        <w:rPr>
          <w:vertAlign w:val="superscript"/>
          <w:lang w:val="nl-NL"/>
        </w:rPr>
        <w:t>1</w:t>
      </w:r>
      <w:r>
        <w:rPr>
          <w:lang w:val="nl-NL"/>
        </w:rPr>
        <w:t>-f</w:t>
      </w:r>
      <w:r>
        <w:rPr>
          <w:vertAlign w:val="superscript"/>
          <w:lang w:val="nl-NL"/>
        </w:rPr>
        <w:t>2</w:t>
      </w:r>
      <w:r>
        <w:rPr>
          <w:lang w:val="nl-NL"/>
        </w:rPr>
        <w:t xml:space="preserve"> grenen met eiken voorslagen en bodems; Holpijp 8' (C-d) en Fluit 4' (C-H) idem; dis-f</w:t>
      </w:r>
      <w:r>
        <w:rPr>
          <w:vertAlign w:val="superscript"/>
          <w:lang w:val="nl-NL"/>
        </w:rPr>
        <w:t>1</w:t>
      </w:r>
      <w:r>
        <w:rPr>
          <w:lang w:val="nl-NL"/>
        </w:rPr>
        <w:t xml:space="preserve"> Holpijp 8' tevens met eiken voorkanten. Tenslotte geheel eiken pijpen bij fis</w:t>
      </w:r>
      <w:r>
        <w:rPr>
          <w:vertAlign w:val="superscript"/>
          <w:lang w:val="nl-NL"/>
        </w:rPr>
        <w:t>2</w:t>
      </w:r>
      <w:r>
        <w:rPr>
          <w:lang w:val="nl-NL"/>
        </w:rPr>
        <w:t>-f</w:t>
      </w:r>
      <w:r>
        <w:rPr>
          <w:vertAlign w:val="superscript"/>
          <w:lang w:val="nl-NL"/>
        </w:rPr>
        <w:t>3</w:t>
      </w:r>
      <w:r>
        <w:rPr>
          <w:lang w:val="nl-NL"/>
        </w:rPr>
        <w:t xml:space="preserve"> van de Bourdon D 16' en fis</w:t>
      </w:r>
      <w:r>
        <w:rPr>
          <w:vertAlign w:val="superscript"/>
          <w:lang w:val="nl-NL"/>
        </w:rPr>
        <w:t>1</w:t>
      </w:r>
      <w:r>
        <w:rPr>
          <w:lang w:val="nl-NL"/>
        </w:rPr>
        <w:t>-f</w:t>
      </w:r>
      <w:r>
        <w:rPr>
          <w:vertAlign w:val="superscript"/>
          <w:lang w:val="nl-NL"/>
        </w:rPr>
        <w:t>3</w:t>
      </w:r>
      <w:r>
        <w:rPr>
          <w:lang w:val="nl-NL"/>
        </w:rPr>
        <w:t xml:space="preserve"> van de Holpijp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2008-05-05T13:44:00Z</dcterms:created>
  <dc:creator>WS1</dc:creator>
  <dc:description/>
  <dc:language>en-US</dc:language>
  <cp:lastModifiedBy>NIvO</cp:lastModifiedBy>
  <cp:lastPrinted>2002-01-08T11:24:00Z</cp:lastPrinted>
  <dcterms:modified xsi:type="dcterms:W3CDTF">2008-06-24T14:21:00Z</dcterms:modified>
  <cp:revision>3</cp:revision>
  <dc:subject/>
  <dc:title>Vrouwenpolder/ca 1845</dc:title>
</cp:coreProperties>
</file>