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Noordhorn / 1899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rechtgesloten koor en een hoge ongelede toren met achtzijdige spits. De kerk dateert waarschijnlijk uit de 13e eeuw. De 14e-eeuwse toren werd in de 18e eeuw beklampt. In de kerk een preekstoel van Jan de Rijk (1718) en herenbanken uit de 17e en 18e eeuw.</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waarbij, net als in Oosterwijtwerd (1895), het concept van Rottum (1889, deel 1886-1894, 136-137) in neorenaissancevormen is omgezet. Het geheel is iets anders geproportioneerd; het middenveld is smaller geworden en de tussenvelden breder. De verschillen met Oosterwijtwerd zitten verder in details. Zo eindigen de onderste etages van de tussenvelden nu aan de bovenzijde in gehalveerde segmentbogen en worden de zijtorens door vazen bekroond. De knop tussen beide frontondelen boven het middenveld ontbreekt, maar mogelijk is ze er wel op enig moment geweest. Verder grijpt Doornbos ook hier terug op de neogotiek bij de afsluiting van de bovenste tussenvelden: opnieuw ojiefbogen, nu breder en voorzien van een opengewerkte driepas van visblazen. Merkwaardig in deze context zijn tenslotte de voluutvormige vleugelstukken, die eerder bij een neoclassicistische kas thuishoren.</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2 Westerkwartier</w:t>
      </w:r>
      <w:r>
        <w:rPr>
          <w:lang w:val="nl-NL"/>
        </w:rPr>
        <w:t>. Groningen, 1995, 132-133.</w:t>
      </w:r>
    </w:p>
    <w:p>
      <w:pPr>
        <w:pStyle w:val="T3Lit"/>
        <w:jc w:val="start"/>
        <w:rPr/>
      </w:pPr>
      <w:r>
        <w:rPr>
          <w:i/>
          <w:iCs/>
          <w:lang w:val="nl-NL"/>
        </w:rPr>
        <w:t>Kerkelijke Courant</w:t>
      </w:r>
      <w:r>
        <w:rPr>
          <w:lang w:val="nl-NL"/>
        </w:rPr>
        <w:t>, 53/10 (1899).</w:t>
      </w:r>
    </w:p>
    <w:p>
      <w:pPr>
        <w:pStyle w:val="T3Lit"/>
        <w:jc w:val="start"/>
        <w:rPr/>
      </w:pPr>
      <w:r>
        <w:rPr>
          <w:szCs w:val="24"/>
          <w:lang w:val="nl-NL"/>
        </w:rPr>
        <w:t xml:space="preserve">F. Talstra, 'Het Groninger orgelbezit van de Reformatie tot de Romantiek', </w:t>
      </w:r>
      <w:r>
        <w:rPr>
          <w:i/>
          <w:iCs/>
          <w:szCs w:val="24"/>
          <w:lang w:val="nl-NL"/>
        </w:rPr>
        <w:t>Publicatiemap Stichting Groninger Kerken</w:t>
      </w:r>
      <w:r>
        <w:rPr>
          <w:szCs w:val="24"/>
          <w:lang w:val="nl-NL"/>
        </w:rPr>
        <w:t>, I (1979), 18; II (1982), 165-166.</w:t>
      </w:r>
    </w:p>
    <w:p>
      <w:pPr>
        <w:pStyle w:val="T3Lit"/>
        <w:rPr>
          <w:szCs w:val="24"/>
          <w:lang w:val="nl-NL"/>
        </w:rPr>
      </w:pPr>
      <w:r>
        <w:rPr>
          <w:szCs w:val="24"/>
          <w:lang w:val="nl-NL"/>
        </w:rPr>
      </w:r>
    </w:p>
    <w:p>
      <w:pPr>
        <w:pStyle w:val="T3Lit"/>
        <w:rPr>
          <w:b/>
          <w:b/>
          <w:bCs/>
          <w:lang w:val="nl-NL"/>
        </w:rPr>
      </w:pPr>
      <w:r>
        <w:rPr>
          <w:b/>
          <w:bCs/>
          <w:lang w:val="nl-NL"/>
        </w:rPr>
        <w:t>Niet gepubliceerde bron</w:t>
      </w:r>
    </w:p>
    <w:p>
      <w:pPr>
        <w:pStyle w:val="T3Lit"/>
        <w:rPr>
          <w:lang w:val="nl-NL"/>
        </w:rPr>
      </w:pPr>
      <w:r>
        <w:rPr>
          <w:szCs w:val="24"/>
          <w:lang w:val="nl-NL"/>
        </w:rPr>
        <w:t>SKKN, dossier Noordhorn NHK, inventarisrapport 1990.</w:t>
      </w:r>
    </w:p>
    <w:p>
      <w:pPr>
        <w:pStyle w:val="T3Lit"/>
        <w:rPr>
          <w:lang w:val="nl-NL"/>
        </w:rPr>
      </w:pPr>
      <w:r>
        <w:rPr>
          <w:lang w:val="nl-NL"/>
        </w:rPr>
      </w:r>
    </w:p>
    <w:p>
      <w:pPr>
        <w:pStyle w:val="T3Lit"/>
        <w:rPr>
          <w:lang w:val="nl-NL"/>
        </w:rPr>
      </w:pPr>
      <w:r>
        <w:rPr>
          <w:lang w:val="nl-NL"/>
        </w:rPr>
        <w:t>Orgelnummer 2012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Doornbos</w:t>
      </w:r>
    </w:p>
    <w:p>
      <w:pPr>
        <w:pStyle w:val="T1"/>
        <w:jc w:val="start"/>
        <w:rPr>
          <w:lang w:val="nl-NL"/>
        </w:rPr>
      </w:pPr>
      <w:r>
        <w:rPr>
          <w:lang w:val="nl-NL"/>
        </w:rPr>
        <w:t>2. K. Schuitema en L. Meijer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2. 1978</w:t>
      </w:r>
    </w:p>
    <w:p>
      <w:pPr>
        <w:pStyle w:val="T1"/>
        <w:jc w:val="start"/>
        <w:rPr>
          <w:lang w:val="nl-NL"/>
        </w:rPr>
      </w:pPr>
      <w:r>
        <w:rPr>
          <w:lang w:val="nl-NL"/>
        </w:rPr>
      </w:r>
    </w:p>
    <w:p>
      <w:pPr>
        <w:pStyle w:val="T1"/>
        <w:jc w:val="start"/>
        <w:rPr>
          <w:lang w:val="nl-NL"/>
        </w:rPr>
      </w:pPr>
      <w:r>
        <w:rPr>
          <w:lang w:val="nl-NL"/>
        </w:rPr>
        <w:t>K. Schuitema en L. Meijer 1974-1978</w:t>
      </w:r>
    </w:p>
    <w:p>
      <w:pPr>
        <w:pStyle w:val="T1"/>
        <w:numPr>
          <w:ilvl w:val="0"/>
          <w:numId w:val="3"/>
        </w:numPr>
        <w:jc w:val="start"/>
        <w:rPr>
          <w:lang w:val="nl-NL"/>
        </w:rPr>
      </w:pPr>
      <w:r>
        <w:rPr>
          <w:lang w:val="nl-NL"/>
        </w:rPr>
        <w:t>nieuw orgel achter het oude front met gebruikmaking van windlade en pijpwerk van het voormalige orgel uit de Hervormde Kerk van Obergum</w:t>
      </w:r>
    </w:p>
    <w:p>
      <w:pPr>
        <w:pStyle w:val="T1"/>
        <w:numPr>
          <w:ilvl w:val="0"/>
          <w:numId w:val="3"/>
        </w:numPr>
        <w:jc w:val="start"/>
        <w:rPr>
          <w:lang w:val="nl-NL"/>
        </w:rPr>
      </w:pPr>
      <w:r>
        <w:rPr>
          <w:lang w:val="nl-NL"/>
        </w:rPr>
        <w:t>kas verdiept</w:t>
      </w:r>
    </w:p>
    <w:p>
      <w:pPr>
        <w:pStyle w:val="T1"/>
        <w:numPr>
          <w:ilvl w:val="0"/>
          <w:numId w:val="3"/>
        </w:numPr>
        <w:jc w:val="start"/>
        <w:rPr>
          <w:lang w:val="nl-NL"/>
        </w:rPr>
      </w:pPr>
      <w:r>
        <w:rPr>
          <w:lang w:val="nl-NL"/>
        </w:rPr>
        <w:t>op lade NW pijpwerk uit het Doornbos-orgel herplaatst</w:t>
      </w:r>
    </w:p>
    <w:p>
      <w:pPr>
        <w:pStyle w:val="T1"/>
        <w:numPr>
          <w:ilvl w:val="0"/>
          <w:numId w:val="3"/>
        </w:numPr>
        <w:jc w:val="start"/>
        <w:rPr>
          <w:lang w:val="nl-NL"/>
        </w:rPr>
      </w:pPr>
      <w:r>
        <w:rPr>
          <w:lang w:val="nl-NL"/>
        </w:rPr>
        <w:t>oude kegellade Doornbos gebruikt voor Ped</w:t>
      </w:r>
    </w:p>
    <w:p>
      <w:pPr>
        <w:pStyle w:val="T1"/>
        <w:numPr>
          <w:ilvl w:val="0"/>
          <w:numId w:val="3"/>
        </w:numPr>
        <w:jc w:val="start"/>
        <w:rPr>
          <w:lang w:val="nl-NL"/>
        </w:rPr>
      </w:pPr>
      <w:r>
        <w:rPr>
          <w:lang w:val="nl-NL"/>
        </w:rPr>
        <w:t>windvoorziening verplaatst en gewijzigd</w:t>
      </w:r>
    </w:p>
    <w:p>
      <w:pPr>
        <w:pStyle w:val="T1"/>
        <w:jc w:val="start"/>
        <w:rPr>
          <w:lang w:val="nl-NL"/>
        </w:rPr>
      </w:pPr>
      <w:r>
        <w:rPr>
          <w:lang w:val="nl-NL"/>
        </w:rPr>
      </w:r>
    </w:p>
    <w:p>
      <w:pPr>
        <w:pStyle w:val="T1"/>
        <w:jc w:val="start"/>
        <w:rPr>
          <w:lang w:val="nl-NL"/>
        </w:rPr>
      </w:pPr>
      <w:r>
        <w:rPr>
          <w:lang w:val="nl-NL"/>
        </w:rPr>
        <w:t>S. Steendam 1994</w:t>
      </w:r>
    </w:p>
    <w:p>
      <w:pPr>
        <w:pStyle w:val="T1"/>
        <w:numPr>
          <w:ilvl w:val="0"/>
          <w:numId w:val="2"/>
        </w:numPr>
        <w:jc w:val="start"/>
        <w:rPr>
          <w:lang w:val="nl-NL"/>
        </w:rPr>
      </w:pPr>
      <w:r>
        <w:rPr>
          <w:lang w:val="nl-NL"/>
        </w:rPr>
        <w:t>gebruikte sleeplade voor Ped geplaatst</w:t>
      </w:r>
    </w:p>
    <w:p>
      <w:pPr>
        <w:pStyle w:val="T1"/>
        <w:numPr>
          <w:ilvl w:val="0"/>
          <w:numId w:val="2"/>
        </w:numPr>
        <w:jc w:val="start"/>
        <w:rPr>
          <w:lang w:val="nl-NL"/>
        </w:rPr>
      </w:pPr>
      <w:r>
        <w:rPr>
          <w:lang w:val="nl-NL"/>
        </w:rPr>
        <w:t>mechanieken Ped vervangen door elektrische tractuur</w:t>
      </w:r>
    </w:p>
    <w:p>
      <w:pPr>
        <w:pStyle w:val="T1"/>
        <w:numPr>
          <w:ilvl w:val="0"/>
          <w:numId w:val="2"/>
        </w:numPr>
        <w:jc w:val="start"/>
        <w:rPr>
          <w:lang w:val="nl-NL"/>
        </w:rPr>
      </w:pPr>
      <w:r>
        <w:rPr>
          <w:lang w:val="nl-NL"/>
        </w:rPr>
        <w:t>pedaalkoppel en tremulant toegevoegd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540"/>
        <w:gridCol w:w="1260"/>
        <w:gridCol w:w="72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Flageolet</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Viola di Gamba</w:t>
            </w:r>
          </w:p>
          <w:p>
            <w:pPr>
              <w:pStyle w:val="T4dispositie"/>
              <w:jc w:val="start"/>
              <w:rPr>
                <w:lang w:val="nl-NL"/>
              </w:rPr>
            </w:pPr>
            <w:r>
              <w:rPr>
                <w:lang w:val="nl-NL"/>
              </w:rPr>
              <w:t>Holfluit</w:t>
            </w:r>
          </w:p>
          <w:p>
            <w:pPr>
              <w:pStyle w:val="T4dispositie"/>
              <w:jc w:val="start"/>
              <w:rPr>
                <w:lang w:val="nl-NL"/>
              </w:rPr>
            </w:pPr>
            <w:r>
              <w:rPr>
                <w:lang w:val="nl-NL"/>
              </w:rPr>
              <w:t>Octaaf</w:t>
            </w:r>
          </w:p>
          <w:p>
            <w:pPr>
              <w:pStyle w:val="T4dispositie"/>
              <w:jc w:val="start"/>
              <w:rPr>
                <w:lang w:val="nl-NL"/>
              </w:rPr>
            </w:pPr>
            <w:r>
              <w:rPr>
                <w:lang w:val="nl-NL"/>
              </w:rPr>
              <w:t>Terts</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260" w:type="dxa"/>
            <w:tcBorders/>
          </w:tcPr>
          <w:p>
            <w:pPr>
              <w:pStyle w:val="T4dispositie"/>
              <w:jc w:val="start"/>
              <w:rPr>
                <w:lang w:val="nl-NL"/>
              </w:rPr>
            </w:pPr>
            <w:r>
              <w:rPr>
                <w:i/>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Prestant-bas</w:t>
            </w:r>
          </w:p>
          <w:p>
            <w:pPr>
              <w:pStyle w:val="T4dispositie"/>
              <w:jc w:val="start"/>
              <w:rPr>
                <w:lang w:val="nl-NL"/>
              </w:rPr>
            </w:pPr>
            <w:r>
              <w:rPr>
                <w:lang w:val="nl-NL"/>
              </w:rPr>
              <w:t>Octaaf</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C-h</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magazijnbalgen met twee schepbalgen (1899)</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tractuur van HW en NW is pneumatisch; die van het Ped is elektrisch.</w:t>
      </w:r>
    </w:p>
    <w:p>
      <w:pPr>
        <w:pStyle w:val="T1"/>
        <w:jc w:val="start"/>
        <w:rPr>
          <w:lang w:val="nl-NL"/>
        </w:rPr>
      </w:pPr>
      <w:r>
        <w:rPr>
          <w:lang w:val="nl-NL"/>
        </w:rPr>
        <w:t>De windlade en het pijpwerk van het HW zijn afkomstig uit het voormalige orgel van de Hervormde Kerk te Obergum. Dit instrument was daar in 1905 geplaatst door M. Vermeulen. Volgens de overlevering zou het oorspronkelijk uit België afkomstig zijn en vóór 1905 in een R.K. Kerk te Gouda hebben gestaan. Op de in 1955 tijdens werkzaamheden door Harkema verwijderde Trompet 8' zou de naam Le Picard hebben gestaan. Het orgel werd in 1964 vanwege de kerkrestauratie afgebroken. Het front van dit instrument (1905) is opgeslagen.</w:t>
      </w:r>
    </w:p>
    <w:p>
      <w:pPr>
        <w:pStyle w:val="T1"/>
        <w:jc w:val="start"/>
        <w:rPr>
          <w:lang w:val="nl-NL"/>
        </w:rPr>
      </w:pPr>
      <w:r>
        <w:rPr>
          <w:lang w:val="nl-NL"/>
        </w:rPr>
        <w:t>De windlade van het HW heeft drie inliggende voorslagen en is vanuit het midden naar weerszijden in hele tonen aflopend ingedeeld. De windlade van het NW (Strubbe) is chromatisch ingedeeld.</w:t>
      </w:r>
    </w:p>
    <w:p>
      <w:pPr>
        <w:pStyle w:val="T1"/>
        <w:jc w:val="start"/>
        <w:rPr/>
      </w:pPr>
      <w:r>
        <w:rPr>
          <w:lang w:val="nl-NL"/>
        </w:rPr>
        <w:t>In het huidige orgel van Noordhorn dateren de binnenpijpen (f</w:t>
      </w:r>
      <w:r>
        <w:rPr>
          <w:vertAlign w:val="superscript"/>
          <w:lang w:val="nl-NL"/>
        </w:rPr>
        <w:t>2</w:t>
      </w:r>
      <w:r>
        <w:rPr>
          <w:lang w:val="nl-NL"/>
        </w:rPr>
        <w:t>-f</w:t>
      </w:r>
      <w:r>
        <w:rPr>
          <w:vertAlign w:val="superscript"/>
          <w:lang w:val="nl-NL"/>
        </w:rPr>
        <w:t>3</w:t>
      </w:r>
      <w:r>
        <w:rPr>
          <w:lang w:val="nl-NL"/>
        </w:rPr>
        <w:t>) van de Prestant 8' en de Flageolet 2' (oorspronkelijk Octaaf 2') uit de 18e eeuw. De Quint 3' is eveneens 18e-eeuws maar afkomstig uit het Doornbos-orgel; C-dis</w:t>
      </w:r>
      <w:r>
        <w:rPr>
          <w:vertAlign w:val="superscript"/>
          <w:lang w:val="nl-NL"/>
        </w:rPr>
        <w:t>2</w:t>
      </w:r>
      <w:r>
        <w:rPr>
          <w:lang w:val="nl-NL"/>
        </w:rPr>
        <w:t xml:space="preserve"> met expressions. De frontpijpen dateren uit 1899 en hebben expressions. Uit 1899 dateren ook de Holpijp 8' (C-h</w:t>
      </w:r>
      <w:r>
        <w:rPr>
          <w:vertAlign w:val="superscript"/>
          <w:lang w:val="nl-NL"/>
        </w:rPr>
        <w:t>1</w:t>
      </w:r>
      <w:r>
        <w:rPr>
          <w:lang w:val="nl-NL"/>
        </w:rPr>
        <w:t xml:space="preserve"> van hout, vervolg metaal, gedekt) en de Fluit 4' (C-h</w:t>
      </w:r>
      <w:r>
        <w:rPr>
          <w:vertAlign w:val="superscript"/>
          <w:lang w:val="nl-NL"/>
        </w:rPr>
        <w:t>1</w:t>
      </w:r>
      <w:r>
        <w:rPr>
          <w:lang w:val="nl-NL"/>
        </w:rPr>
        <w:t xml:space="preserve"> van hout, gedekt vervolg metaal open, conisch). De Octaaf 4 is geheel van metaal en heeft expressions van C-g</w:t>
      </w:r>
      <w:r>
        <w:rPr>
          <w:vertAlign w:val="superscript"/>
          <w:lang w:val="nl-NL"/>
        </w:rPr>
        <w:t>2</w:t>
      </w:r>
      <w:r>
        <w:rPr>
          <w:lang w:val="nl-NL"/>
        </w:rPr>
        <w:t>. De Dulciaan 8' dateert uit 1955.</w:t>
      </w:r>
    </w:p>
    <w:p>
      <w:pPr>
        <w:pStyle w:val="T1"/>
        <w:jc w:val="start"/>
        <w:rPr/>
      </w:pPr>
      <w:r>
        <w:rPr>
          <w:lang w:val="nl-NL"/>
        </w:rPr>
        <w:t>De Gedekt 8' (naaldhout), de Holfluit 4' (C-f</w:t>
      </w:r>
      <w:r>
        <w:rPr>
          <w:vertAlign w:val="superscript"/>
          <w:lang w:val="nl-NL"/>
        </w:rPr>
        <w:t>2</w:t>
      </w:r>
      <w:r>
        <w:rPr>
          <w:lang w:val="nl-NL"/>
        </w:rPr>
        <w:t xml:space="preserve"> van hout) en de Octaaf 2' (fabriekspijpwerk met geperste labia) zijn afkomstig uit het oude Doornbos-orgel. De Viola di Gamba 8' is afkomstig uit Obergum. C-H zijn gecombineerd met de Gedekt 8', het vervolg is van metaal met expressions. De Terts repeteert op c</w:t>
      </w:r>
      <w:r>
        <w:rPr>
          <w:vertAlign w:val="superscript"/>
          <w:lang w:val="nl-NL"/>
        </w:rPr>
        <w:t>1</w:t>
      </w:r>
      <w:r>
        <w:rPr>
          <w:lang w:val="nl-NL"/>
        </w:rPr>
        <w:t>.</w:t>
      </w:r>
    </w:p>
    <w:p>
      <w:pPr>
        <w:pStyle w:val="T1"/>
        <w:jc w:val="start"/>
        <w:rPr>
          <w:lang w:val="nl-NL"/>
        </w:rPr>
      </w:pPr>
      <w:r>
        <w:rPr>
          <w:lang w:val="nl-NL"/>
        </w:rPr>
        <w:t>De registers Bourdon 16' (geheel van hout), Prestant-bas 8' (C-G van hout, open, vervolg metaal) en Octaaf 4' (metaal met expressions) van het Ped bestaan uit pijpwerk uit het Doornbos-orgel. De Trompet 4' (spotted metal) is in 1978 van elders aangekocht.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2008-05-05T13:48:00Z</dcterms:created>
  <dc:creator>WS1</dc:creator>
  <dc:description/>
  <dc:language>en-US</dc:language>
  <cp:lastModifiedBy>NIvO</cp:lastModifiedBy>
  <dcterms:modified xsi:type="dcterms:W3CDTF">2008-06-24T14:31:00Z</dcterms:modified>
  <cp:revision>3</cp:revision>
  <dc:subject/>
  <dc:title>Olst / 1880</dc:title>
</cp:coreProperties>
</file>