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Borgsweer / 1900</w:t>
      </w:r>
    </w:p>
    <w:p>
      <w:pPr>
        <w:pStyle w:val="Heading2"/>
        <w:tabs>
          <w:tab w:val="clear" w:pos="708"/>
          <w:tab w:val="left" w:pos="0" w:leader="none"/>
        </w:tabs>
        <w:ind w:start="0" w:end="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De oorsprong van de kerk is niet duidelijk. In 1635 en 1850 werd ze vernieuwd en in 1881 minstens grotendeels herbouwd. De toren dateert uit 1859. Interieur, met preekstoel uit 1756, rond 1983 heringericht als dorpshuis.</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Een typisch negendelig Van Oeckelen-front, gebaseerd op 18e eeuwse Groningse principes. Het voor de Van Oeckelens meest typerende element is dat de middentoren wordt geflankeerd door zijvelden met ieder twee pijpen. Een eigen orgelbouwtechnische aanpassing aan 18e eeuwse vijf- of zevendelige front-schema's, terwille van het ook in het front plaatsen van een volledig uitgebouwd groot octaaf met inachtneming van oude verhoudingsprincipes, bij de Van Oeckelens resulterend in een zeven- of een negendelig forntschema. De overeenkomsten tussen het Borgsweerdse front en de fronten van Schettens (1891), Niekerk (Westerkwartier; 1894) en Woltersum (1894) zijn evident.</w:t>
      </w:r>
    </w:p>
    <w:p>
      <w:pPr>
        <w:pStyle w:val="T2Kunst"/>
        <w:jc w:val="start"/>
        <w:rPr>
          <w:lang w:val="nl-NL"/>
        </w:rPr>
      </w:pPr>
      <w:r>
        <w:rPr>
          <w:lang w:val="nl-NL"/>
        </w:rPr>
        <w:t>Waarschijnlijk zijn er als gevolg van oorlogsgeweld enkele bekronende ornamenten verloren gegaan. De velden naast de middentoren worden bekroond door bollen. Op de middentoren een ornament dat door wijlen Arjen Looyenga fantasievol werd omschreven als ‘welhaast een indiaanse verentooi’. Opvallend is te zien hoe door het ontbreken van enkele decoratieonderdelen de verhoudingen van het instrument wat zijn zoekgeraakt. Iets vergelijkbaars geldt voor het aangebrachte bladgoud: het rijk geschakeerde lijstwerk krijgt zo wel heel sterk de aandacht en het orgel oogt hierdoor wat aan de drukke kant.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3 Oldambt/Westerwolde</w:t>
      </w:r>
      <w:r>
        <w:rPr>
          <w:lang w:val="nl-NL"/>
        </w:rPr>
        <w:t>. Groningen, 1996, 38-39.</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35005</w:t>
      </w:r>
    </w:p>
    <w:p>
      <w:pPr>
        <w:pStyle w:val="T3Lit"/>
        <w:jc w:val="start"/>
        <w:rPr>
          <w:lang w:val="nl-NL"/>
        </w:rPr>
      </w:pPr>
      <w:r>
        <w:rPr>
          <w:lang w:val="nl-NL"/>
        </w:rPr>
        <w:t>Orgelnummer 205</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1945</w:t>
      </w:r>
    </w:p>
    <w:p>
      <w:pPr>
        <w:pStyle w:val="T1"/>
        <w:numPr>
          <w:ilvl w:val="0"/>
          <w:numId w:val="2"/>
        </w:numPr>
        <w:jc w:val="start"/>
        <w:rPr>
          <w:lang w:val="nl-NL"/>
        </w:rPr>
      </w:pPr>
      <w:r>
        <w:rPr>
          <w:lang w:val="nl-NL"/>
        </w:rPr>
        <w:t>orgel beschadigd door oorlogsgeweld</w:t>
      </w:r>
    </w:p>
    <w:p>
      <w:pPr>
        <w:pStyle w:val="T1"/>
        <w:jc w:val="start"/>
        <w:rPr>
          <w:lang w:val="nl-NL"/>
        </w:rPr>
      </w:pPr>
      <w:r>
        <w:rPr>
          <w:lang w:val="nl-NL"/>
        </w:rPr>
      </w:r>
    </w:p>
    <w:p>
      <w:pPr>
        <w:pStyle w:val="T1"/>
        <w:jc w:val="start"/>
        <w:rPr>
          <w:lang w:val="nl-NL"/>
        </w:rPr>
      </w:pPr>
      <w:r>
        <w:rPr>
          <w:lang w:val="nl-NL"/>
        </w:rPr>
        <w:t>Mense Ruiter 1954</w:t>
      </w:r>
    </w:p>
    <w:p>
      <w:pPr>
        <w:pStyle w:val="T1"/>
        <w:jc w:val="start"/>
        <w:rPr>
          <w:lang w:val="nl-NL"/>
        </w:rPr>
      </w:pPr>
      <w:r>
        <w:rPr>
          <w:lang w:val="nl-NL"/>
        </w:rPr>
        <w:t>.</w:t>
        <w:tab/>
        <w:t>herstel oorlogsschade</w:t>
      </w:r>
    </w:p>
    <w:p>
      <w:pPr>
        <w:pStyle w:val="T1"/>
        <w:jc w:val="start"/>
        <w:rPr>
          <w:lang w:val="nl-NL"/>
        </w:rPr>
      </w:pPr>
      <w:r>
        <w:rPr>
          <w:lang w:val="nl-NL"/>
        </w:rPr>
        <w:t>.</w:t>
        <w:tab/>
        <w:t>handklavier, mechanieken en windlade deels vernieuwd</w:t>
      </w:r>
    </w:p>
    <w:p>
      <w:pPr>
        <w:pStyle w:val="T1"/>
        <w:jc w:val="start"/>
        <w:rPr>
          <w:lang w:val="nl-NL"/>
        </w:rPr>
      </w:pPr>
      <w:r>
        <w:rPr>
          <w:lang w:val="nl-NL"/>
        </w:rPr>
      </w:r>
    </w:p>
    <w:p>
      <w:pPr>
        <w:pStyle w:val="T1"/>
        <w:jc w:val="start"/>
        <w:rPr>
          <w:lang w:val="nl-NL"/>
        </w:rPr>
      </w:pPr>
      <w:r>
        <w:rPr>
          <w:lang w:val="nl-NL"/>
        </w:rPr>
        <w:t>1982</w:t>
      </w:r>
    </w:p>
    <w:p>
      <w:pPr>
        <w:pStyle w:val="T1"/>
        <w:numPr>
          <w:ilvl w:val="0"/>
          <w:numId w:val="2"/>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J.J. Harkema 1985</w:t>
      </w:r>
    </w:p>
    <w:p>
      <w:pPr>
        <w:pStyle w:val="T1"/>
        <w:numPr>
          <w:ilvl w:val="0"/>
          <w:numId w:val="2"/>
        </w:numPr>
        <w:jc w:val="start"/>
        <w:rPr>
          <w:lang w:val="nl-NL"/>
        </w:rPr>
      </w:pPr>
      <w:r>
        <w:rPr>
          <w:lang w:val="nl-NL"/>
        </w:rPr>
        <w:t>magazijnbalg vervangen door kleiner exemplaar</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rPr>
            </w:pPr>
            <w:r>
              <w:rPr>
                <w:i/>
                <w:iCs/>
              </w:rPr>
              <w:t>Manuaal</w:t>
            </w:r>
          </w:p>
          <w:p>
            <w:pPr>
              <w:pStyle w:val="T4dispositie"/>
              <w:jc w:val="start"/>
              <w:rPr/>
            </w:pPr>
            <w:r>
              <w:rPr/>
              <w:t>7 stemmen</w:t>
            </w:r>
          </w:p>
          <w:p>
            <w:pPr>
              <w:pStyle w:val="T4dispositie"/>
              <w:jc w:val="start"/>
              <w:rPr/>
            </w:pPr>
            <w:r>
              <w:rPr/>
            </w:r>
          </w:p>
          <w:p>
            <w:pPr>
              <w:pStyle w:val="T4dispositie"/>
              <w:jc w:val="start"/>
              <w:rPr/>
            </w:pPr>
            <w:r>
              <w:rPr/>
              <w:t>Bourdon</w:t>
            </w:r>
          </w:p>
          <w:p>
            <w:pPr>
              <w:pStyle w:val="T4dispositie"/>
              <w:jc w:val="start"/>
              <w:rPr/>
            </w:pPr>
            <w:r>
              <w:rPr/>
              <w:t>Prestand</w:t>
            </w:r>
          </w:p>
          <w:p>
            <w:pPr>
              <w:pStyle w:val="T4dispositie"/>
              <w:jc w:val="start"/>
              <w:rPr/>
            </w:pPr>
            <w:r>
              <w:rPr/>
              <w:t>Holpijp</w:t>
            </w:r>
          </w:p>
          <w:p>
            <w:pPr>
              <w:pStyle w:val="T4dispositie"/>
              <w:jc w:val="start"/>
              <w:rPr/>
            </w:pPr>
            <w:r>
              <w:rPr/>
              <w:t>Viola da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Fluit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vast te stellen</w:t>
      </w:r>
    </w:p>
    <w:p>
      <w:pPr>
        <w:pStyle w:val="T1"/>
        <w:jc w:val="start"/>
        <w:rPr>
          <w:lang w:val="nl-NL"/>
        </w:rPr>
      </w:pPr>
      <w:r>
        <w:rPr>
          <w:lang w:val="nl-NL"/>
        </w:rPr>
        <w:t>Temperatuur</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(1985)</w:t>
      </w:r>
    </w:p>
    <w:p>
      <w:pPr>
        <w:pStyle w:val="T1"/>
        <w:jc w:val="start"/>
        <w:rPr>
          <w:lang w:val="nl-NL"/>
        </w:rPr>
      </w:pPr>
      <w:r>
        <w:rPr>
          <w:lang w:val="nl-NL"/>
        </w:rPr>
        <w:t>Winddruk</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is nog nauwelijks bespeelbaar. Doordat de orgelgalerij ook als magazijn van niet-orgeldelen dient, is het binnenwerk van het instrument zeer moeilijk bereikbaar. Het orgel is in 1945 met name aan de achterzijde beschadigd.</w:t>
      </w:r>
    </w:p>
    <w:p>
      <w:pPr>
        <w:pStyle w:val="T1"/>
        <w:jc w:val="start"/>
        <w:rPr>
          <w:lang w:val="nl-NL"/>
        </w:rPr>
      </w:pPr>
      <w:r>
        <w:rPr>
          <w:lang w:val="nl-NL"/>
        </w:rPr>
        <w:t>De registerplaatjes zijn in de knoppen gelijmd. De bakstukken van het handklavier en de registerplaatjes van de Octaaf 4' en de Fluit 2' dateren uit 1954; de overige plaatjes hebben een neogotische beschrifting (een uitzondering in het oeuvre van de Van Oeckelens).</w:t>
      </w:r>
    </w:p>
    <w:p>
      <w:pPr>
        <w:pStyle w:val="T1"/>
        <w:jc w:val="start"/>
        <w:rPr>
          <w:lang w:val="nl-NL"/>
        </w:rPr>
      </w:pPr>
      <w:r>
        <w:rPr>
          <w:lang w:val="nl-NL"/>
        </w:rPr>
        <w:t>De windlade is in hele tonen ingedeeld, qua cancelgrootte vanuit het midden naar de zijkanten aflopend.</w:t>
      </w:r>
    </w:p>
    <w:p>
      <w:pPr>
        <w:pStyle w:val="T1"/>
        <w:jc w:val="start"/>
        <w:rPr/>
      </w:pPr>
      <w:r>
        <w:rPr>
          <w:lang w:val="nl-NL"/>
        </w:rPr>
        <w:t>De Prestant 8' staat van C-gis in het front, met uitzondering van twee direct achter het front geplaatste pijpen. Houten pijpwerk bevindt zich in de Bourdon 16' (C-h) en de Holpijp 8' (C-H). De Viola di Gamba 8' is van C-H gecombineerd met de Holpijp 8'. De Fluit 4' is van C-H gedekt, van c-f</w:t>
      </w:r>
      <w:r>
        <w:rPr>
          <w:vertAlign w:val="superscript"/>
          <w:lang w:val="nl-NL"/>
        </w:rPr>
        <w:t>2</w:t>
      </w:r>
      <w:r>
        <w:rPr>
          <w:lang w:val="nl-NL"/>
        </w:rPr>
        <w:t xml:space="preserve"> open, cilindrisch en vanaf fis</w:t>
      </w:r>
      <w:r>
        <w:rPr>
          <w:vertAlign w:val="superscript"/>
          <w:lang w:val="nl-NL"/>
        </w:rPr>
        <w:t>2</w:t>
      </w:r>
      <w:r>
        <w:rPr>
          <w:lang w:val="nl-NL"/>
        </w:rPr>
        <w:t xml:space="preserve"> open, conisch. De Fluit 2' is van C-H gedekt, het vervolg is open, cilindrisch.</w:t>
      </w:r>
    </w:p>
    <w:p>
      <w:pPr>
        <w:pStyle w:val="T1"/>
        <w:jc w:val="start"/>
        <w:rPr/>
      </w:pPr>
      <w:r>
        <w:rPr>
          <w:lang w:val="nl-NL"/>
        </w:rPr>
        <w:t>Expressions zijn aangebracht in de Prestant 8' (C-cis</w:t>
      </w:r>
      <w:r>
        <w:rPr>
          <w:vertAlign w:val="superscript"/>
          <w:lang w:val="nl-NL"/>
        </w:rPr>
        <w:t>3</w:t>
      </w:r>
      <w:r>
        <w:rPr>
          <w:lang w:val="nl-NL"/>
        </w:rPr>
        <w:t>; vervolg op lengte afgesneden), de Viola di Gamba 8' (c-a</w:t>
      </w:r>
      <w:r>
        <w:rPr>
          <w:vertAlign w:val="superscript"/>
          <w:lang w:val="nl-NL"/>
        </w:rPr>
        <w:t>2</w:t>
      </w:r>
      <w:r>
        <w:rPr>
          <w:lang w:val="nl-NL"/>
        </w:rPr>
        <w:t>; vervolg met stemkrul), de Octaaf 4' (C-h</w:t>
      </w:r>
      <w:r>
        <w:rPr>
          <w:vertAlign w:val="superscript"/>
          <w:lang w:val="nl-NL"/>
        </w:rPr>
        <w:t>1</w:t>
      </w:r>
      <w:r>
        <w:rPr>
          <w:lang w:val="nl-NL"/>
        </w:rPr>
        <w:t>; vervolg op lengte afgesneden), de Fluit 4' (c-fis</w:t>
      </w:r>
      <w:r>
        <w:rPr>
          <w:vertAlign w:val="superscript"/>
          <w:lang w:val="nl-NL"/>
        </w:rPr>
        <w:t>2</w:t>
      </w:r>
      <w:r>
        <w:rPr>
          <w:lang w:val="nl-NL"/>
        </w:rPr>
        <w:t>) en de Fluit 2' (c-f; fis-h</w:t>
      </w:r>
      <w:r>
        <w:rPr>
          <w:vertAlign w:val="superscript"/>
          <w:lang w:val="nl-NL"/>
        </w:rPr>
        <w:t>1</w:t>
      </w:r>
      <w:r>
        <w:rPr>
          <w:lang w:val="nl-NL"/>
        </w:rPr>
        <w:t xml:space="preserve"> met stemkrul;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1">
    <w:name w:val="WW-Standaardalinea-lettertype1"/>
    <w:qFormat/>
    <w:rPr/>
  </w:style>
  <w:style w:type="character" w:styleId="WWStandaardalinealettertype11">
    <w:name w:val="WW-Standaardalinea-lettertype1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558</Words>
  <Characters>3195</Characters>
  <CharactersWithSpaces>3683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2008-05-05T13:52:00Z</dcterms:created>
  <dc:creator>WS1</dc:creator>
  <dc:description/>
  <dc:language>en-US</dc:language>
  <cp:lastModifiedBy>NIvO</cp:lastModifiedBy>
  <cp:lastPrinted>2007-06-07T13:20:00Z</cp:lastPrinted>
  <dcterms:modified xsi:type="dcterms:W3CDTF">2008-06-24T14:44:00Z</dcterms:modified>
  <cp:revision>3</cp:revision>
  <dc:subject/>
  <dc:title>Wirdum / 1879</dc:title>
</cp:coreProperties>
</file>