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Culemborg / 1900</w:t>
      </w:r>
    </w:p>
    <w:p>
      <w:pPr>
        <w:pStyle w:val="Heading2"/>
        <w:rPr>
          <w:i w:val="false"/>
          <w:i w:val="false"/>
          <w:iCs/>
        </w:rPr>
      </w:pPr>
      <w:r>
        <w:rPr>
          <w:i w:val="false"/>
          <w:iCs/>
        </w:rPr>
        <w:t>Oud-Katholieke Kerk van de H.H. Barbara en Antonius</w:t>
      </w:r>
    </w:p>
    <w:p>
      <w:pPr>
        <w:pStyle w:val="T1"/>
        <w:jc w:val="start"/>
        <w:rPr>
          <w:i/>
          <w:i/>
          <w:iCs/>
          <w:lang w:val="nl-NL"/>
        </w:rPr>
      </w:pPr>
      <w:r>
        <w:rPr>
          <w:i/>
          <w:iCs/>
          <w:lang w:val="nl-NL"/>
        </w:rPr>
      </w:r>
    </w:p>
    <w:p>
      <w:pPr>
        <w:pStyle w:val="T1"/>
        <w:jc w:val="start"/>
        <w:rPr/>
      </w:pPr>
      <w:r>
        <w:rPr>
          <w:i/>
          <w:iCs/>
        </w:rPr>
        <w:t xml:space="preserve">Zaalkerkje uit 1838. </w:t>
      </w:r>
      <w:r>
        <w:rPr>
          <w:i/>
          <w:iCs/>
          <w:lang w:val="nl-NL"/>
        </w:rPr>
        <w:t>Meubilair en beelden 18e-eeuws.</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Het Culemborgse front is het laatste van twee door J.F. Witte gebouwde orgels met een vlakke acht-voets façade in rondboogstijl (middenveld hoger dan zijvelden), gecombineerd met enkele neorenaissancekenmerken. </w:t>
      </w:r>
      <w:r>
        <w:rPr/>
        <w:t xml:space="preserve">Beide orgels staan met oog op de plaatsing van de zangers vrij op een balkon. De ornamentiek van beide orgels is vrijwel identiek. </w:t>
      </w:r>
      <w:r>
        <w:rPr>
          <w:lang w:val="nl-NL"/>
        </w:rPr>
        <w:t xml:space="preserve">Het eerste front dateert uit 1890 en werd gemaakt voor de Oud-Katholieke Maria Minorkerk in Utrecht (deel 1886-1894, 179-180). Qua hoofdlijnen (drie vlakke velden, afgesloten met een rondboog, het middenveld altijd sprekend) maken zij deel uit van een langere, in de jaren 60 van de 19e eeuw door C.G.F. Witte begonnen reeks die pas in 1902, het jaar waarin J.F. Witte overlijdt, zal worden beëindigd. </w:t>
      </w:r>
      <w:r>
        <w:rPr/>
        <w:t xml:space="preserve">Een vast terugkerend element in de latere orgels van deze reeks is de tympaanvormige afsluiting van het middenveld. We zien dat ook in Culemborg. </w:t>
      </w:r>
      <w:r>
        <w:rPr>
          <w:lang w:val="nl-NL"/>
        </w:rPr>
        <w:t>In het oog springende verschillen met eerdere fronten in rondboogstijl: de in de pilastervormige frontstijlen aangebrachte cannelures, de kapitelen en basementen van deze frontstijlen, de diamantkoppen en de sterk gestileerde voluten.</w:t>
      </w:r>
    </w:p>
    <w:p>
      <w:pPr>
        <w:pStyle w:val="T2Kunst"/>
        <w:jc w:val="start"/>
        <w:rPr>
          <w:lang w:val="nl-NL"/>
        </w:rPr>
      </w:pPr>
      <w:r>
        <w:rPr/>
        <w:t>Al met al dus een ornamenteel schema dat ten opzichte van eerdere rondboogschema’s een ombuiging in renaissance-vormen laat zien. In zijn orgels voor de Remonstrantse Kerk in Haarlem (1901) en de Hervormde Kerk in Harmelen (1902) zal J.F. Witte het neorenaissance-element nog wat verder uitwerken.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S.W.J. Schade van Westrum, ‘Oud-Katholiek orgelbezit (VII), Culemborg, H.H. Barbara en Antonius’. </w:t>
      </w:r>
      <w:r>
        <w:rPr>
          <w:i/>
          <w:lang w:val="nl-NL"/>
        </w:rPr>
        <w:t>De Mixtuur</w:t>
      </w:r>
      <w:r>
        <w:rPr>
          <w:lang w:val="nl-NL"/>
        </w:rPr>
        <w:t>, 57 (1987), 286-289.</w:t>
      </w:r>
    </w:p>
    <w:p>
      <w:pPr>
        <w:pStyle w:val="T3Lit"/>
        <w:jc w:val="start"/>
        <w:rPr/>
      </w:pPr>
      <w:r>
        <w:rPr>
          <w:lang w:val="nl-NL"/>
        </w:rPr>
        <w:t xml:space="preserve">Teus den Toom, </w:t>
      </w:r>
      <w:r>
        <w:rPr>
          <w:i/>
          <w:lang w:val="nl-NL"/>
        </w:rPr>
        <w:t>De orgelmakers Witte</w:t>
      </w:r>
      <w:r>
        <w:rPr>
          <w:lang w:val="nl-NL"/>
        </w:rPr>
        <w:t>. Heerenveen, 1997, 944-945, 1016-1017.</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fr-FR"/>
        </w:rPr>
        <w:t xml:space="preserve">A. Bouman, </w:t>
      </w:r>
      <w:r>
        <w:rPr>
          <w:i/>
          <w:iCs/>
          <w:lang w:val="fr-FR"/>
        </w:rPr>
        <w:t>Dispositiecahier IV.</w:t>
      </w:r>
    </w:p>
    <w:p>
      <w:pPr>
        <w:pStyle w:val="T3Lit"/>
        <w:jc w:val="start"/>
        <w:rPr>
          <w:lang w:val="nl-NL"/>
        </w:rPr>
      </w:pPr>
      <w:r>
        <w:rPr>
          <w:lang w:val="nl-NL"/>
        </w:rPr>
        <w:t>Orgelarchief Teus den Toom.</w:t>
      </w:r>
    </w:p>
    <w:p>
      <w:pPr>
        <w:pStyle w:val="T3Lit"/>
        <w:jc w:val="start"/>
        <w:rPr>
          <w:lang w:val="nl-NL"/>
        </w:rPr>
      </w:pPr>
      <w:r>
        <w:rPr>
          <w:lang w:val="nl-NL"/>
        </w:rPr>
        <w:t>Witte-archief.</w:t>
      </w:r>
    </w:p>
    <w:p>
      <w:pPr>
        <w:pStyle w:val="T3Lit"/>
        <w:jc w:val="start"/>
        <w:rPr>
          <w:lang w:val="nl-NL"/>
        </w:rPr>
      </w:pPr>
      <w:r>
        <w:rPr>
          <w:lang w:val="nl-NL"/>
        </w:rPr>
      </w:r>
    </w:p>
    <w:p>
      <w:pPr>
        <w:pStyle w:val="T3Lit"/>
        <w:jc w:val="start"/>
        <w:rPr>
          <w:lang w:val="nl-NL"/>
        </w:rPr>
      </w:pPr>
      <w:r>
        <w:rPr>
          <w:lang w:val="nl-NL"/>
        </w:rPr>
        <w:t>Monumentnummer 11595</w:t>
      </w:r>
    </w:p>
    <w:p>
      <w:pPr>
        <w:pStyle w:val="T3Lit"/>
        <w:jc w:val="start"/>
        <w:rPr>
          <w:lang w:val="nl-NL"/>
        </w:rPr>
      </w:pPr>
      <w:r>
        <w:rPr>
          <w:lang w:val="nl-NL"/>
        </w:rPr>
        <w:t>Orgelnummer 273 of 439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lang w:val="nl-NL"/>
        </w:rPr>
      </w:pPr>
      <w:r>
        <w:rPr>
          <w:lang w:val="nl-NL"/>
        </w:rPr>
        <w:t>J.C. Sanders &amp; Zn 1949 of eerder</w:t>
      </w:r>
    </w:p>
    <w:p>
      <w:pPr>
        <w:pStyle w:val="T1"/>
        <w:numPr>
          <w:ilvl w:val="0"/>
          <w:numId w:val="2"/>
        </w:numPr>
        <w:jc w:val="start"/>
        <w:rPr>
          <w:lang w:val="nl-NL"/>
        </w:rPr>
      </w:pPr>
      <w:r>
        <w:rPr>
          <w:lang w:val="nl-NL"/>
        </w:rPr>
        <w:t>orgel hersteld en gewijzigd</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HW Bourdon 16' $ Roerfluit 8'; houten pijpwerk gebruikt voor Bourdon 16' Ped</w:t>
      </w:r>
    </w:p>
    <w:p>
      <w:pPr>
        <w:pStyle w:val="T1"/>
        <w:ind w:start="708" w:hanging="0"/>
        <w:jc w:val="start"/>
        <w:rPr>
          <w:lang w:val="fr-FR"/>
        </w:rPr>
      </w:pPr>
      <w:r>
        <w:rPr>
          <w:lang w:val="fr-FR"/>
        </w:rPr>
        <w:t>NW - Fluit travers 8', + Voix céleste 8'</w:t>
      </w:r>
    </w:p>
    <w:p>
      <w:pPr>
        <w:pStyle w:val="T1"/>
        <w:jc w:val="start"/>
        <w:rPr>
          <w:lang w:val="fr-FR"/>
        </w:rPr>
      </w:pPr>
      <w:r>
        <w:rPr>
          <w:lang w:val="fr-FR"/>
        </w:rPr>
      </w:r>
    </w:p>
    <w:p>
      <w:pPr>
        <w:pStyle w:val="T1"/>
        <w:jc w:val="start"/>
        <w:rPr>
          <w:lang w:val="nl-NL"/>
        </w:rPr>
      </w:pPr>
      <w:r>
        <w:rPr>
          <w:lang w:val="nl-NL"/>
        </w:rPr>
        <w:t>Jac. van der Linden 1981</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NW - Voix céleste 8', + Gemshoorn 2'</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5797" w:type="dxa"/>
        <w:jc w:val="start"/>
        <w:tblInd w:w="-70" w:type="dxa"/>
        <w:tblLayout w:type="fixed"/>
        <w:tblCellMar>
          <w:top w:w="0" w:type="dxa"/>
          <w:start w:w="70" w:type="dxa"/>
          <w:bottom w:w="0" w:type="dxa"/>
          <w:end w:w="70" w:type="dxa"/>
        </w:tblCellMar>
      </w:tblPr>
      <w:tblGrid>
        <w:gridCol w:w="1475"/>
        <w:gridCol w:w="766"/>
        <w:gridCol w:w="1429"/>
        <w:gridCol w:w="488"/>
        <w:gridCol w:w="997"/>
        <w:gridCol w:w="642"/>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Nazard</w:t>
            </w:r>
          </w:p>
          <w:p>
            <w:pPr>
              <w:pStyle w:val="T4dispositie"/>
              <w:rPr>
                <w:lang w:val="nl-NL"/>
              </w:rPr>
            </w:pPr>
            <w:r>
              <w:rPr>
                <w:lang w:val="nl-NL"/>
              </w:rPr>
              <w:t>Flageolet</w:t>
            </w:r>
          </w:p>
          <w:p>
            <w:pPr>
              <w:pStyle w:val="T4dispositie"/>
              <w:rPr>
                <w:lang w:val="nl-NL"/>
              </w:rPr>
            </w:pPr>
            <w:r>
              <w:rPr>
                <w:lang w:val="nl-NL"/>
              </w:rPr>
              <w:t>Trompet</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429" w:type="dxa"/>
            <w:tcBorders/>
          </w:tcPr>
          <w:p>
            <w:pPr>
              <w:pStyle w:val="T4dispositie"/>
              <w:rPr>
                <w:i/>
                <w:i/>
                <w:iCs/>
                <w:lang w:val="nl-NL"/>
              </w:rPr>
            </w:pPr>
            <w:r>
              <w:rPr>
                <w:i/>
                <w:iCs/>
                <w:lang w:val="nl-NL"/>
              </w:rPr>
              <w:t>Nevenwerk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Holfluit</w:t>
            </w:r>
          </w:p>
          <w:p>
            <w:pPr>
              <w:pStyle w:val="T4dispositie"/>
              <w:rPr>
                <w:lang w:val="nl-NL"/>
              </w:rPr>
            </w:pPr>
            <w:r>
              <w:rPr>
                <w:lang w:val="nl-NL"/>
              </w:rPr>
              <w:t>Viola</w:t>
            </w:r>
          </w:p>
          <w:p>
            <w:pPr>
              <w:pStyle w:val="T4dispositie"/>
              <w:rPr>
                <w:lang w:val="nl-NL"/>
              </w:rPr>
            </w:pPr>
            <w:r>
              <w:rPr>
                <w:lang w:val="nl-NL"/>
              </w:rPr>
              <w:t>Fluit</w:t>
            </w:r>
          </w:p>
          <w:p>
            <w:pPr>
              <w:pStyle w:val="T4dispositie"/>
              <w:rPr>
                <w:lang w:val="nl-NL"/>
              </w:rPr>
            </w:pPr>
            <w:r>
              <w:rPr>
                <w:lang w:val="nl-NL"/>
              </w:rPr>
              <w:t>Gemshoorn</w:t>
            </w:r>
          </w:p>
        </w:tc>
        <w:tc>
          <w:tcPr>
            <w:tcW w:w="4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c>
          <w:tcPr>
            <w:tcW w:w="997"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Basse</w:t>
            </w:r>
          </w:p>
        </w:tc>
        <w:tc>
          <w:tcPr>
            <w:tcW w:w="64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pedaalkoppel (naar keuze aan HW of NW)</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szCs w:val="24"/>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(1900)</w:t>
      </w:r>
    </w:p>
    <w:p>
      <w:pPr>
        <w:pStyle w:val="T1"/>
        <w:jc w:val="start"/>
        <w:rPr>
          <w:lang w:val="nl-NL"/>
        </w:rPr>
      </w:pPr>
      <w:r>
        <w:rPr>
          <w:lang w:val="nl-NL"/>
        </w:rPr>
        <w:t>Winddruk</w:t>
      </w:r>
    </w:p>
    <w:p>
      <w:pPr>
        <w:pStyle w:val="T1"/>
        <w:jc w:val="start"/>
        <w:rPr>
          <w:lang w:val="nl-NL"/>
        </w:rPr>
      </w:pPr>
      <w:r>
        <w:rPr>
          <w:lang w:val="nl-NL"/>
        </w:rPr>
        <w:t>93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registerknoppen van HW en NW zijn in een horizontale rij boven de lessenaarbak aangebracht. De pedaalkoppel wordt bediend met een lepelvormige trede. De registernamen zijn op witte porseleinen plaatjes op de knoppen aangebracht.</w:t>
      </w:r>
    </w:p>
    <w:p>
      <w:pPr>
        <w:pStyle w:val="T1"/>
        <w:jc w:val="start"/>
        <w:rPr/>
      </w:pPr>
      <w:r>
        <w:rPr/>
        <w:t>De lade voor HW en NW is gecombineerd en heeft een dubbele ventielkast. Het pijpwerk is als volgt opgesteld: C en Cis in het midden, het vervolg naar weerszijden in hele tonen aflopend.</w:t>
      </w:r>
    </w:p>
    <w:p>
      <w:pPr>
        <w:pStyle w:val="T1"/>
        <w:jc w:val="start"/>
        <w:rPr/>
      </w:pPr>
      <w:r>
        <w:rPr/>
        <w:t>Onder de windlade bevindt zich de magazijnbalg met beide schepbalgen.</w:t>
      </w:r>
    </w:p>
    <w:p>
      <w:pPr>
        <w:pStyle w:val="T1"/>
        <w:jc w:val="start"/>
        <w:rPr/>
      </w:pPr>
      <w:r>
        <w:rPr/>
        <w:t xml:space="preserve">De registers van het NW staan direct achter het front. </w:t>
      </w:r>
      <w:r>
        <w:rPr>
          <w:lang w:val="nl-NL"/>
        </w:rPr>
        <w:t>C-c van de Viola 8' zijn gecombineerd met de Holfluit 8', het vervolg is van tin en tot en met h</w:t>
      </w:r>
      <w:r>
        <w:rPr>
          <w:vertAlign w:val="superscript"/>
          <w:lang w:val="nl-NL"/>
        </w:rPr>
        <w:t>2</w:t>
      </w:r>
      <w:r>
        <w:rPr>
          <w:lang w:val="nl-NL"/>
        </w:rPr>
        <w:t xml:space="preserve"> voorzien van expressions. C-c van de Holfluit 8' zijn van eiken, gedekt; het vervolg is van metaal, gedekt. De Fluit 4' en Gemshoorn 2' zijn van metaal, conisch, open.</w:t>
      </w:r>
    </w:p>
    <w:p>
      <w:pPr>
        <w:pStyle w:val="T1"/>
        <w:jc w:val="start"/>
        <w:rPr/>
      </w:pPr>
      <w:r>
        <w:rPr>
          <w:lang w:val="nl-NL"/>
        </w:rPr>
        <w:t>De Prestant 8' staat van C-e in het front (tin), het vervolg staat op de lade. C-f</w:t>
      </w:r>
      <w:r>
        <w:rPr>
          <w:vertAlign w:val="superscript"/>
          <w:lang w:val="nl-NL"/>
        </w:rPr>
        <w:t>2</w:t>
      </w:r>
      <w:r>
        <w:rPr>
          <w:lang w:val="nl-NL"/>
        </w:rPr>
        <w:t xml:space="preserve"> hebben expressions. C-H van de Roerfluit 8' zijn gecombineerd met de Basse 16', c-f</w:t>
      </w:r>
      <w:r>
        <w:rPr>
          <w:vertAlign w:val="superscript"/>
          <w:lang w:val="nl-NL"/>
        </w:rPr>
        <w:t>3</w:t>
      </w:r>
      <w:r>
        <w:rPr>
          <w:lang w:val="nl-NL"/>
        </w:rPr>
        <w:t xml:space="preserve"> zijn van metaal; c-g</w:t>
      </w:r>
      <w:r>
        <w:rPr>
          <w:vertAlign w:val="superscript"/>
          <w:lang w:val="nl-NL"/>
        </w:rPr>
        <w:t>2</w:t>
      </w:r>
      <w:r>
        <w:rPr>
          <w:lang w:val="nl-NL"/>
        </w:rPr>
        <w:t xml:space="preserve"> zijn cilindrisch, gedekt met uitwendige roeren, vanaf gis</w:t>
      </w:r>
      <w:r>
        <w:rPr>
          <w:vertAlign w:val="superscript"/>
          <w:lang w:val="nl-NL"/>
        </w:rPr>
        <w:t>2</w:t>
      </w:r>
      <w:r>
        <w:rPr>
          <w:lang w:val="nl-NL"/>
        </w:rPr>
        <w:t xml:space="preserve"> conisch, open. </w:t>
      </w:r>
      <w:r>
        <w:rPr/>
        <w:t xml:space="preserve">De corpora van de pijpen zijn van Witte, de van slagletters voorziene voeten van recenter datum. </w:t>
      </w:r>
      <w:r>
        <w:rPr>
          <w:lang w:val="nl-NL"/>
        </w:rPr>
        <w:t>De Octaaf 4', de Nazard 3' en de Flageolet 2' zijn van metaal. Van de Octaaf 4' hebben C-f</w:t>
      </w:r>
      <w:r>
        <w:rPr>
          <w:vertAlign w:val="superscript"/>
          <w:lang w:val="nl-NL"/>
        </w:rPr>
        <w:t>1</w:t>
      </w:r>
      <w:r>
        <w:rPr>
          <w:lang w:val="nl-NL"/>
        </w:rPr>
        <w:t xml:space="preserve"> expressions, van de Flageolet 2' C-f. Laatstgenoemd register is in de discant overblazend. C-h van de conische Nazard 3' hebben een stemkrul. De Trompet 8' heeft metalen stevels, koppen en bekers. </w:t>
      </w:r>
      <w:r>
        <w:rPr/>
        <w:t>De kelen en tongen zijn van messing, evenals de banden om de stevels.</w:t>
      </w:r>
    </w:p>
    <w:p>
      <w:pPr>
        <w:pStyle w:val="T1"/>
        <w:jc w:val="start"/>
        <w:rPr/>
      </w:pPr>
      <w:r>
        <w:rPr>
          <w:lang w:val="nl-NL"/>
        </w:rPr>
        <w:t>C-d</w:t>
      </w:r>
      <w:r>
        <w:rPr>
          <w:vertAlign w:val="superscript"/>
          <w:lang w:val="nl-NL"/>
        </w:rPr>
        <w:t>1</w:t>
      </w:r>
      <w:r>
        <w:rPr>
          <w:lang w:val="nl-NL"/>
        </w:rPr>
        <w:t xml:space="preserve"> van de Basse (= Bourdon 16' Ped) zijn van eiken, gedekt en staan op een eigen lade aan de linkerzijde in de kas.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2008-05-05T13:53:00Z</dcterms:created>
  <dc:creator>WS1</dc:creator>
  <dc:description/>
  <dc:language>en-US</dc:language>
  <cp:lastModifiedBy>NIvO</cp:lastModifiedBy>
  <dcterms:modified xsi:type="dcterms:W3CDTF">2008-05-05T13:53:00Z</dcterms:modified>
  <cp:revision>2</cp:revision>
  <dc:subject/>
  <dc:title>Geervliet / 1874</dc:title>
</cp:coreProperties>
</file>