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Goënga (Goaiingae) / 1900</w:t>
      </w:r>
    </w:p>
    <w:p>
      <w:pPr>
        <w:pStyle w:val="Heading2"/>
        <w:rPr>
          <w:i w:val="false"/>
          <w:i w:val="false"/>
          <w:iCs/>
        </w:rPr>
      </w:pPr>
      <w:r>
        <w:rPr>
          <w:i w:val="false"/>
          <w:iCs/>
        </w:rPr>
        <w:t>Hervormde Kerk</w:t>
      </w:r>
    </w:p>
    <w:p>
      <w:pPr>
        <w:pStyle w:val="T1"/>
        <w:rPr>
          <w:i/>
          <w:i/>
          <w:iCs/>
        </w:rPr>
      </w:pPr>
      <w:r>
        <w:rPr>
          <w:i/>
          <w:iCs/>
        </w:rPr>
      </w:r>
    </w:p>
    <w:p>
      <w:pPr>
        <w:pStyle w:val="T1"/>
        <w:rPr>
          <w:i/>
          <w:i/>
          <w:iCs/>
          <w:lang w:val="nl-NL"/>
        </w:rPr>
      </w:pPr>
      <w:r>
        <w:rPr>
          <w:i/>
          <w:iCs/>
          <w:lang w:val="nl-NL"/>
        </w:rPr>
        <w:t>Driezijdig gesloten zaalkerk uit 1758, geveltoren met spits uit 1787. Kansel uit 1759.</w:t>
      </w:r>
    </w:p>
    <w:p>
      <w:pPr>
        <w:pStyle w:val="T1"/>
        <w:rPr>
          <w:i/>
          <w:i/>
          <w:iCs/>
          <w:lang w:val="nl-NL"/>
        </w:rPr>
      </w:pPr>
      <w:r>
        <w:rPr>
          <w:i/>
          <w:iCs/>
          <w:lang w:val="nl-NL"/>
        </w:rPr>
      </w:r>
    </w:p>
    <w:p>
      <w:pPr>
        <w:pStyle w:val="T1"/>
        <w:jc w:val="start"/>
        <w:rPr>
          <w:lang w:val="nl-NL"/>
        </w:rPr>
      </w:pPr>
      <w:r>
        <w:rPr>
          <w:lang w:val="nl-NL"/>
        </w:rPr>
        <w:t>Kas: 1900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front uit de reeks identieke fronten die teruggaat op het front van Wouterswoude van 1894: drie ronde torens, recht uitgevoerde gedeelde tussenvelden met houten scheidingspaneel met onderaan een gebogen verloop.</w:t>
      </w:r>
    </w:p>
    <w:p>
      <w:pPr>
        <w:pStyle w:val="T2Kunst"/>
        <w:jc w:val="start"/>
        <w:rPr/>
      </w:pPr>
      <w:r>
        <w:rPr/>
        <w:t xml:space="preserve">Opmerkelijk bij dit front is de relatie tussen front en balustrades. </w:t>
      </w:r>
      <w:r>
        <w:rPr>
          <w:lang w:val="nl-NL"/>
        </w:rPr>
        <w:t xml:space="preserve">De bolle profiellijst van het frontbasement is doorgetrokken in de balustrades; het paneelwerk onder het front wordt ook in de balustrades voortgezet. </w:t>
      </w:r>
      <w:r>
        <w:rPr/>
        <w:t xml:space="preserve">Boven de bolle lijst is nog een verhoging op de balustrades aangebracht, waarbij de paneelindeling van het onderliggende deel is aangehouden. </w:t>
      </w:r>
    </w:p>
    <w:p>
      <w:pPr>
        <w:pStyle w:val="T2Kunst"/>
        <w:jc w:val="start"/>
        <w:rPr>
          <w:lang w:val="nl-NL"/>
        </w:rPr>
      </w:pPr>
      <w:r>
        <w:rPr>
          <w:lang w:val="nl-NL"/>
        </w:rPr>
        <w:t>De ornamentiek toont de bekende traditionele thema’s: voluten, bladranken en bloemen, bij dit front alles in een uitbundige en levendige uitvoering. De bovenblinderingen van de torens hebben een schakelfiguurtje middenin dat een klein beetje over het lijstwerk heen valt.</w:t>
      </w:r>
    </w:p>
    <w:p>
      <w:pPr>
        <w:pStyle w:val="T2Kunst"/>
        <w:jc w:val="start"/>
        <w:rPr/>
      </w:pPr>
      <w:r>
        <w:rPr>
          <w:lang w:val="nl-NL"/>
        </w:rPr>
        <w:t xml:space="preserve">De opzetstukken op de zijtorens worden door een palmetachtig figuur bekroond, bij het opzetstuk op de middentoren vormt een lier de bekroning. </w:t>
      </w:r>
      <w:r>
        <w:rPr/>
        <w:t xml:space="preserve">In de vleugelstukken zijn voluutvormen gecombineerd met bebladerde takken. De </w:t>
      </w:r>
      <w:r>
        <w:rPr>
          <w:i/>
          <w:iCs/>
        </w:rPr>
        <w:t>culs-de-lampe</w:t>
      </w:r>
      <w:r>
        <w:rPr/>
        <w:t xml:space="preserve"> bestaan gewoontegetrouw uit omgekruld blad. De kleuren lijken origineel te zijn.</w:t>
      </w:r>
    </w:p>
    <w:p>
      <w:pPr>
        <w:pStyle w:val="T1"/>
        <w:jc w:val="start"/>
        <w:rPr>
          <w:lang w:val="nl-NL"/>
        </w:rPr>
      </w:pPr>
      <w:r>
        <w:rPr>
          <w:lang w:val="nl-NL"/>
        </w:rPr>
      </w:r>
    </w:p>
    <w:p>
      <w:pPr>
        <w:pStyle w:val="T3Lit"/>
        <w:jc w:val="start"/>
        <w:rPr>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131, 188.</w:t>
      </w:r>
    </w:p>
    <w:p>
      <w:pPr>
        <w:pStyle w:val="T3Lit"/>
        <w:jc w:val="start"/>
        <w:rPr>
          <w:lang w:val="nl-NL"/>
        </w:rPr>
      </w:pPr>
      <w:r>
        <w:rPr>
          <w:lang w:val="nl-NL"/>
        </w:rPr>
      </w:r>
    </w:p>
    <w:p>
      <w:pPr>
        <w:pStyle w:val="T3Lit"/>
        <w:jc w:val="start"/>
        <w:rPr>
          <w:b/>
          <w:b/>
          <w:bCs/>
        </w:rPr>
      </w:pPr>
      <w:r>
        <w:rPr>
          <w:b/>
          <w:bCs/>
        </w:rPr>
        <w:t>Niet gepubliceerde bronnen</w:t>
      </w:r>
    </w:p>
    <w:p>
      <w:pPr>
        <w:pStyle w:val="T3Lit"/>
        <w:jc w:val="start"/>
        <w:rPr>
          <w:lang w:val="nl-NL"/>
        </w:rPr>
      </w:pPr>
      <w:r>
        <w:rPr>
          <w:lang w:val="nl-NL"/>
        </w:rPr>
        <w:t>Archief Orgelmakerij Bakker &amp; Timmenga, Leeuwarden, HCL.</w:t>
      </w:r>
    </w:p>
    <w:p>
      <w:pPr>
        <w:pStyle w:val="T3Lit"/>
        <w:jc w:val="start"/>
        <w:rPr/>
      </w:pPr>
      <w:r>
        <w:rPr/>
        <w:t xml:space="preserve">Jan Jongepier, </w:t>
      </w:r>
      <w:r>
        <w:rPr>
          <w:i/>
          <w:iCs/>
        </w:rPr>
        <w:t>Het orgel in de Hervormde kerk te Goënga, een beknopte beschrijving</w:t>
      </w:r>
      <w:r>
        <w:rPr/>
        <w:t>. Leeuwarden, 2000.</w:t>
      </w:r>
    </w:p>
    <w:p>
      <w:pPr>
        <w:pStyle w:val="T3Lit"/>
        <w:jc w:val="start"/>
        <w:rPr/>
      </w:pPr>
      <w:r>
        <w:rPr/>
      </w:r>
    </w:p>
    <w:p>
      <w:pPr>
        <w:pStyle w:val="T3Lit"/>
        <w:jc w:val="start"/>
        <w:rPr/>
      </w:pPr>
      <w:r>
        <w:rPr/>
        <w:t>Monumentnummer 39768</w:t>
      </w:r>
    </w:p>
    <w:p>
      <w:pPr>
        <w:pStyle w:val="T3Lit"/>
        <w:jc w:val="start"/>
        <w:rPr/>
      </w:pPr>
      <w:r>
        <w:rPr/>
        <w:t>Orgelnummer 507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1900</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lang w:val="en-GB"/>
        </w:rPr>
      </w:pPr>
      <w:r>
        <w:rPr>
          <w:lang w:val="en-GB"/>
        </w:rPr>
        <w:t>Dispositie</w:t>
      </w:r>
    </w:p>
    <w:tbl>
      <w:tblPr>
        <w:tblW w:w="2040" w:type="dxa"/>
        <w:jc w:val="start"/>
        <w:tblInd w:w="-70" w:type="dxa"/>
        <w:tblLayout w:type="fixed"/>
        <w:tblCellMar>
          <w:top w:w="0" w:type="dxa"/>
          <w:start w:w="70" w:type="dxa"/>
          <w:bottom w:w="0" w:type="dxa"/>
          <w:end w:w="70" w:type="dxa"/>
        </w:tblCellMar>
      </w:tblPr>
      <w:tblGrid>
        <w:gridCol w:w="1510"/>
        <w:gridCol w:w="530"/>
      </w:tblGrid>
      <w:tr>
        <w:trPr/>
        <w:tc>
          <w:tcPr>
            <w:tcW w:w="1510" w:type="dxa"/>
            <w:tcBorders/>
          </w:tcPr>
          <w:p>
            <w:pPr>
              <w:pStyle w:val="T4dispositie"/>
              <w:jc w:val="start"/>
              <w:rPr>
                <w:i/>
                <w:i/>
                <w:iCs/>
                <w:lang w:val="en-GB"/>
              </w:rPr>
            </w:pPr>
            <w:r>
              <w:rPr>
                <w:i/>
                <w:iCs/>
                <w:lang w:val="en-GB"/>
              </w:rPr>
              <w:t>Manuaal</w:t>
            </w:r>
          </w:p>
          <w:p>
            <w:pPr>
              <w:pStyle w:val="T4dispositie"/>
              <w:jc w:val="start"/>
              <w:rPr>
                <w:lang w:val="en-GB"/>
              </w:rPr>
            </w:pPr>
            <w:r>
              <w:rPr>
                <w:lang w:val="en-GB"/>
              </w:rPr>
              <w:t>7 stemmen</w:t>
            </w:r>
          </w:p>
          <w:p>
            <w:pPr>
              <w:pStyle w:val="T4dispositie"/>
              <w:jc w:val="start"/>
              <w:rPr>
                <w:lang w:val="en-GB"/>
              </w:rPr>
            </w:pPr>
            <w:r>
              <w:rPr>
                <w:lang w:val="en-GB"/>
              </w:rPr>
            </w:r>
          </w:p>
          <w:p>
            <w:pPr>
              <w:pStyle w:val="T4dispositie"/>
              <w:jc w:val="start"/>
              <w:rPr>
                <w:lang w:val="en-GB"/>
              </w:rPr>
            </w:pPr>
            <w:r>
              <w:rPr>
                <w:lang w:val="en-GB"/>
              </w:rPr>
              <w:t>Prestant</w:t>
            </w:r>
          </w:p>
          <w:p>
            <w:pPr>
              <w:pStyle w:val="T4dispositie"/>
              <w:jc w:val="start"/>
              <w:rPr>
                <w:lang w:val="en-GB"/>
              </w:rPr>
            </w:pPr>
            <w:r>
              <w:rPr>
                <w:lang w:val="en-GB"/>
              </w:rPr>
              <w:t>Bourdon</w:t>
            </w:r>
          </w:p>
          <w:p>
            <w:pPr>
              <w:pStyle w:val="T4dispositie"/>
              <w:jc w:val="start"/>
              <w:rPr>
                <w:lang w:val="en-GB"/>
              </w:rPr>
            </w:pPr>
            <w:r>
              <w:rPr>
                <w:lang w:val="en-GB"/>
              </w:rPr>
              <w:t>Viola di Gamba</w:t>
            </w:r>
          </w:p>
          <w:p>
            <w:pPr>
              <w:pStyle w:val="T4dispositie"/>
              <w:jc w:val="start"/>
              <w:rPr>
                <w:lang w:val="en-GB"/>
              </w:rPr>
            </w:pPr>
            <w:r>
              <w:rPr>
                <w:lang w:val="en-GB"/>
              </w:rPr>
              <w:t>Voix Celeste</w:t>
            </w:r>
          </w:p>
          <w:p>
            <w:pPr>
              <w:pStyle w:val="T4dispositie"/>
              <w:jc w:val="start"/>
              <w:rPr>
                <w:lang w:val="en-GB"/>
              </w:rPr>
            </w:pPr>
            <w:r>
              <w:rPr>
                <w:lang w:val="en-GB"/>
              </w:rPr>
              <w:t>Octaaf</w:t>
            </w:r>
          </w:p>
          <w:p>
            <w:pPr>
              <w:pStyle w:val="T4dispositie"/>
              <w:jc w:val="start"/>
              <w:rPr>
                <w:lang w:val="en-GB"/>
              </w:rPr>
            </w:pPr>
            <w:r>
              <w:rPr>
                <w:lang w:val="en-GB"/>
              </w:rPr>
              <w:t>Fluit</w:t>
            </w:r>
          </w:p>
          <w:p>
            <w:pPr>
              <w:pStyle w:val="T4dispositie"/>
              <w:jc w:val="start"/>
              <w:rPr>
                <w:lang w:val="en-GB"/>
              </w:rPr>
            </w:pPr>
            <w:r>
              <w:rPr>
                <w:lang w:val="en-GB"/>
              </w:rPr>
              <w:t>Gemshorn</w:t>
            </w:r>
          </w:p>
        </w:tc>
        <w:tc>
          <w:tcPr>
            <w:tcW w:w="530"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(1900)</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 </w:t>
      </w:r>
    </w:p>
    <w:p>
      <w:pPr>
        <w:pStyle w:val="T1"/>
        <w:jc w:val="start"/>
        <w:rPr>
          <w:i/>
          <w:i/>
          <w:iCs/>
        </w:rPr>
      </w:pPr>
      <w:r>
        <w:rPr>
          <w:i/>
          <w:iCs/>
        </w:rPr>
      </w:r>
    </w:p>
    <w:p>
      <w:pPr>
        <w:pStyle w:val="T1"/>
        <w:jc w:val="start"/>
        <w:rPr/>
      </w:pPr>
      <w:r>
        <w:rPr>
          <w:lang w:val="nl-NL"/>
        </w:rPr>
        <w:t xml:space="preserve">Op de windlade is nog plaats voor een Trompet. Sleep, stok, en registermechaniek zijn aanwezig; op het naamplaatje staat </w:t>
      </w:r>
      <w:r>
        <w:rPr>
          <w:i/>
          <w:iCs/>
          <w:lang w:val="nl-NL"/>
        </w:rPr>
        <w:t>Trompet 8'</w:t>
      </w:r>
      <w:r>
        <w:rPr>
          <w:lang w:val="nl-NL"/>
        </w:rPr>
        <w:t>.</w:t>
      </w:r>
    </w:p>
    <w:p>
      <w:pPr>
        <w:pStyle w:val="T1"/>
        <w:jc w:val="start"/>
        <w:rPr/>
      </w:pPr>
      <w:r>
        <w:rPr>
          <w:lang w:val="nl-NL"/>
        </w:rPr>
        <w:t xml:space="preserve">Het handklavier is een eiken staartklavier. Het eiken pedaalklavier heeft korte boventoetsen van gelijke maatvoering. </w:t>
      </w:r>
      <w:r>
        <w:rPr/>
        <w:t>De registerknoppen zijn boven de lessenaar aangebracht.</w:t>
      </w:r>
    </w:p>
    <w:p>
      <w:pPr>
        <w:pStyle w:val="T1"/>
        <w:jc w:val="start"/>
        <w:rPr/>
      </w:pPr>
      <w:r>
        <w:rPr/>
        <w:t>Het windtoestel bevindt zich in de onderkas.</w:t>
      </w:r>
    </w:p>
    <w:p>
      <w:pPr>
        <w:pStyle w:val="T1"/>
        <w:jc w:val="start"/>
        <w:rPr/>
      </w:pPr>
      <w:r>
        <w:rPr/>
        <w:t xml:space="preserve">De windlade is voor wat betreft cancellenraam en ventielkast van eiken, stokken en roosters zijn van mahonie. </w:t>
      </w:r>
      <w:r>
        <w:rPr>
          <w:lang w:val="nl-NL"/>
        </w:rPr>
        <w:t>De ventielkast heeft drie opliggende voorslagen.</w:t>
      </w:r>
    </w:p>
    <w:p>
      <w:pPr>
        <w:pStyle w:val="T1"/>
        <w:jc w:val="start"/>
        <w:rPr/>
      </w:pPr>
      <w:r>
        <w:rPr>
          <w:lang w:val="nl-NL"/>
        </w:rPr>
        <w:t>De frontpijpen zijn van Engels tin. In het front staan E-e</w:t>
      </w:r>
      <w:r>
        <w:rPr>
          <w:vertAlign w:val="superscript"/>
          <w:lang w:val="nl-NL"/>
        </w:rPr>
        <w:t>1</w:t>
      </w:r>
      <w:r>
        <w:rPr>
          <w:lang w:val="nl-NL"/>
        </w:rPr>
        <w:t xml:space="preserve"> van de Prestant 8': in de torens en in de onderste tussenvelden aan beide kanten de drie grootste pijpen. Houten pijpen zijn toegepast bij de Prestant 8' (C-Dis, open) en de Bourdon 8'(C-H). De Voix Celeste is van C-H gecombineerd met de Prestant; de Viola di Gamba met de Bourdon 8'. De Fluit 4' is van C-f</w:t>
      </w:r>
      <w:r>
        <w:rPr>
          <w:vertAlign w:val="superscript"/>
          <w:lang w:val="nl-NL"/>
        </w:rPr>
        <w:t>2</w:t>
      </w:r>
      <w:r>
        <w:rPr>
          <w:lang w:val="nl-NL"/>
        </w:rPr>
        <w:t xml:space="preserve"> gedekt en verder open, conisch.</w:t>
      </w:r>
    </w:p>
    <w:p>
      <w:pPr>
        <w:pStyle w:val="T1"/>
        <w:jc w:val="start"/>
        <w:rPr/>
      </w:pPr>
      <w:r>
        <w:rPr>
          <w:lang w:val="nl-NL"/>
        </w:rPr>
        <w:t>Expressions zijn toegepast bij alle binnenpijpen van Prestant 8', Voix Celeste 8' en Viola di Gamba 8' en verder bij de Octaaf 4' (C-f</w:t>
      </w:r>
      <w:r>
        <w:rPr>
          <w:vertAlign w:val="superscript"/>
          <w:lang w:val="nl-NL"/>
        </w:rPr>
        <w:t>1</w:t>
      </w:r>
      <w:r>
        <w:rPr>
          <w:lang w:val="nl-NL"/>
        </w:rPr>
        <w:t xml:space="preserve">) en de Gemshorn 2' (naaminscriptie </w:t>
      </w:r>
      <w:r>
        <w:rPr>
          <w:i/>
          <w:iCs/>
          <w:lang w:val="nl-NL"/>
        </w:rPr>
        <w:t>Octaaf 2 vt</w:t>
      </w:r>
      <w:r>
        <w:rPr>
          <w:lang w:val="nl-NL"/>
        </w:rPr>
        <w:t>) tot en met f</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StrongEmphasis">
    <w:name w:val="Strong Emphasis"/>
    <w:basedOn w:val="Standaardalinealettertype"/>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2008-05-05T13:56:00Z</dcterms:created>
  <dc:creator>WS1</dc:creator>
  <dc:description/>
  <dc:language>en-US</dc:language>
  <cp:lastModifiedBy>NIvO</cp:lastModifiedBy>
  <dcterms:modified xsi:type="dcterms:W3CDTF">2008-07-21T11:17:00Z</dcterms:modified>
  <cp:revision>3</cp:revision>
  <dc:subject/>
  <dc:title>Utrecht / 1880</dc:title>
</cp:coreProperties>
</file>