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 xml:space="preserve">Heerenveen (It Hearrenfean)/ 1900 </w:t>
      </w:r>
    </w:p>
    <w:p>
      <w:pPr>
        <w:pStyle w:val="Heading2"/>
        <w:jc w:val="both"/>
        <w:rPr>
          <w:i w:val="false"/>
          <w:i w:val="false"/>
          <w:iCs/>
        </w:rPr>
      </w:pPr>
      <w:r>
        <w:rPr>
          <w:i w:val="false"/>
          <w:iCs/>
        </w:rPr>
        <w:t>Doopsgezinde Kerk</w:t>
      </w:r>
    </w:p>
    <w:p>
      <w:pPr>
        <w:pStyle w:val="T1"/>
        <w:jc w:val="start"/>
        <w:rPr>
          <w:i/>
          <w:i/>
          <w:iCs/>
          <w:lang w:val="nl-NL"/>
        </w:rPr>
      </w:pPr>
      <w:r>
        <w:rPr>
          <w:i/>
          <w:iCs/>
          <w:lang w:val="nl-NL"/>
        </w:rPr>
      </w:r>
    </w:p>
    <w:p>
      <w:pPr>
        <w:pStyle w:val="Normal"/>
        <w:rPr>
          <w:rFonts w:ascii="Times New Roman" w:hAnsi="Times New Roman" w:cs="Times New Roman"/>
          <w:i/>
          <w:i/>
        </w:rPr>
      </w:pPr>
      <w:r>
        <w:rPr>
          <w:rFonts w:cs="Times New Roman" w:ascii="Times New Roman" w:hAnsi="Times New Roman"/>
          <w:i/>
        </w:rPr>
        <w:t>Dwars geplaatste zaalkerk uit 1762, in 1838 van een dorische ingangspartij voorzien, waarin een 18e-eeuwse stichtingssteen is opgenomen. Het interieur is ingrijpend gemoderniseerd.</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1900</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Vijfledig front, onderdeel van de reeks fronten met gedeelde tussenvelden met parallel labiumverloop en een als paneel uitgevoerde scheiding, aan de onderzijde in de vorm van een boogsegment. De tussenvelden zijn hier vlak uitgevoerd.</w:t>
      </w:r>
    </w:p>
    <w:p>
      <w:pPr>
        <w:pStyle w:val="T2Kunst"/>
        <w:jc w:val="start"/>
        <w:rPr>
          <w:lang w:val="nl-NL"/>
        </w:rPr>
      </w:pPr>
      <w:r>
        <w:rPr>
          <w:lang w:val="nl-NL"/>
        </w:rPr>
        <w:t>Sobere uitvoering van de blinderingen die alleen bij de boveneinden van de pijpen zijn aangebracht. Bij de torenblinderingen en de opzetstukken is de vertrouwde uitbundige compositie van C-voluten, bladranken en bloemen waarneembaar. Op het middelste opzetstuk traditiegetrouw de lier.</w:t>
      </w:r>
    </w:p>
    <w:p>
      <w:pPr>
        <w:pStyle w:val="T2Kunst"/>
        <w:jc w:val="start"/>
        <w:rPr>
          <w:lang w:val="nl-NL"/>
        </w:rPr>
      </w:pPr>
      <w:r>
        <w:rPr>
          <w:lang w:val="nl-NL"/>
        </w:rPr>
        <w:t>De vleugelstukken zijn verwant aan die van Oudemirdum (1900). Geen wijnranken en vogeltjes, maar in het hart van de voluten afhangende takken met blad en vrucht, onderaan doorgetrokken tot op de balustrade.</w:t>
      </w:r>
    </w:p>
    <w:p>
      <w:pPr>
        <w:pStyle w:val="T2Kunst"/>
        <w:jc w:val="start"/>
        <w:rPr>
          <w:lang w:val="nl-NL"/>
        </w:rPr>
      </w:pPr>
      <w:r>
        <w:rPr>
          <w:lang w:val="nl-NL"/>
        </w:rPr>
        <w:t>De sobere uitvoering blijkt ook uit de totale afwezigheid van vergulde accenten, ook niet op de labia van de frontpijpen. Op een oude foto van het nog ongewijzigde kerkinterieur, aanwezig in de consistorie, ziet het orgel er net zo uit als het zich nu vertoont.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190.</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lang w:val="nl-NL"/>
        </w:rPr>
      </w:pPr>
      <w:r>
        <w:rPr>
          <w:lang w:val="nl-NL"/>
        </w:rPr>
        <w:t>Archief Mense Ruiter Orgelmakers.</w:t>
      </w:r>
    </w:p>
    <w:p>
      <w:pPr>
        <w:pStyle w:val="T3Lit"/>
        <w:rPr>
          <w:lang w:val="nl-NL"/>
        </w:rPr>
      </w:pPr>
      <w:r>
        <w:rPr>
          <w:lang w:val="nl-NL"/>
        </w:rPr>
      </w:r>
    </w:p>
    <w:p>
      <w:pPr>
        <w:pStyle w:val="T3Lit"/>
        <w:jc w:val="start"/>
        <w:rPr>
          <w:lang w:val="nl-NL"/>
        </w:rPr>
      </w:pPr>
      <w:r>
        <w:rPr>
          <w:lang w:val="nl-NL"/>
        </w:rPr>
        <w:t>Orgelnummer 637</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rPr>
          <w:lang w:val="nl-NL"/>
        </w:rPr>
      </w:pPr>
      <w:r>
        <w:rPr>
          <w:lang w:val="nl-NL"/>
        </w:rPr>
      </w:r>
    </w:p>
    <w:p>
      <w:pPr>
        <w:pStyle w:val="T1"/>
        <w:rPr/>
      </w:pPr>
      <w:r>
        <w:rPr/>
        <w:t>Bakker &amp; Timmenga 1948</w:t>
      </w:r>
    </w:p>
    <w:p>
      <w:pPr>
        <w:pStyle w:val="T1"/>
        <w:numPr>
          <w:ilvl w:val="0"/>
          <w:numId w:val="2"/>
        </w:numPr>
        <w:rPr>
          <w:lang w:val="nl-NL"/>
        </w:rPr>
      </w:pPr>
      <w:r>
        <w:rPr>
          <w:lang w:val="nl-NL"/>
        </w:rPr>
        <w:t>orgel schoongemaakt; frontpijpen gepolijst</w:t>
      </w:r>
    </w:p>
    <w:p>
      <w:pPr>
        <w:pStyle w:val="T1"/>
        <w:numPr>
          <w:ilvl w:val="0"/>
          <w:numId w:val="2"/>
        </w:numPr>
        <w:rPr>
          <w:lang w:val="nl-NL"/>
        </w:rPr>
      </w:pPr>
      <w:r>
        <w:rPr>
          <w:lang w:val="nl-NL"/>
        </w:rPr>
        <w:t>handklavier ingevoerd</w:t>
      </w:r>
    </w:p>
    <w:p>
      <w:pPr>
        <w:pStyle w:val="T1"/>
        <w:numPr>
          <w:ilvl w:val="0"/>
          <w:numId w:val="2"/>
        </w:numPr>
        <w:rPr>
          <w:lang w:val="nl-NL"/>
        </w:rPr>
      </w:pPr>
      <w:r>
        <w:rPr>
          <w:lang w:val="nl-NL"/>
        </w:rPr>
        <w:t>ventielen van nieuw leer en vilt voorzien</w:t>
      </w:r>
    </w:p>
    <w:p>
      <w:pPr>
        <w:pStyle w:val="T1"/>
        <w:numPr>
          <w:ilvl w:val="0"/>
          <w:numId w:val="2"/>
        </w:numPr>
        <w:rPr>
          <w:lang w:val="nl-NL"/>
        </w:rPr>
      </w:pPr>
      <w:r>
        <w:rPr>
          <w:lang w:val="nl-NL"/>
        </w:rPr>
        <w:t>- Melophone 8', + Quint 3' (op gereserveerde sleep?), + Bourdon D 16'</w:t>
      </w:r>
    </w:p>
    <w:p>
      <w:pPr>
        <w:pStyle w:val="T1"/>
        <w:numPr>
          <w:ilvl w:val="0"/>
          <w:numId w:val="2"/>
        </w:numPr>
        <w:rPr>
          <w:lang w:val="nl-NL"/>
        </w:rPr>
      </w:pPr>
      <w:r>
        <w:rPr>
          <w:lang w:val="nl-NL"/>
        </w:rPr>
        <w:t>kantsleep voor later te plaatsen Bourdon B 16' aangebracht</w:t>
      </w:r>
    </w:p>
    <w:p>
      <w:pPr>
        <w:pStyle w:val="T1"/>
        <w:rPr>
          <w:lang w:val="nl-NL"/>
        </w:rPr>
      </w:pPr>
      <w:r>
        <w:rPr>
          <w:lang w:val="nl-NL"/>
        </w:rPr>
      </w:r>
    </w:p>
    <w:p>
      <w:pPr>
        <w:pStyle w:val="T1"/>
        <w:rPr>
          <w:lang w:val="nl-NL"/>
        </w:rPr>
      </w:pPr>
      <w:r>
        <w:rPr>
          <w:lang w:val="nl-NL"/>
        </w:rPr>
        <w:t>Orgelmakerij Bakker &amp; Timmenga 1962</w:t>
      </w:r>
    </w:p>
    <w:p>
      <w:pPr>
        <w:pStyle w:val="T1"/>
        <w:numPr>
          <w:ilvl w:val="0"/>
          <w:numId w:val="4"/>
        </w:numPr>
        <w:rPr>
          <w:lang w:val="nl-NL"/>
        </w:rPr>
      </w:pPr>
      <w:r>
        <w:rPr>
          <w:lang w:val="nl-NL"/>
        </w:rPr>
        <w:t>pijpwerk Bourdon B 16' geplaatst</w:t>
      </w:r>
    </w:p>
    <w:p>
      <w:pPr>
        <w:pStyle w:val="T1"/>
        <w:numPr>
          <w:ilvl w:val="0"/>
          <w:numId w:val="4"/>
        </w:numPr>
        <w:rPr>
          <w:lang w:val="nl-NL"/>
        </w:rPr>
      </w:pPr>
      <w:r>
        <w:rPr>
          <w:lang w:val="nl-NL"/>
        </w:rPr>
        <w:t>+ Mixtuur 3-4 st. op gereserveerde sleep</w:t>
      </w:r>
    </w:p>
    <w:p>
      <w:pPr>
        <w:pStyle w:val="T1"/>
        <w:rPr>
          <w:lang w:val="nl-NL"/>
        </w:rPr>
      </w:pPr>
      <w:r>
        <w:rPr>
          <w:lang w:val="nl-NL"/>
        </w:rPr>
      </w:r>
    </w:p>
    <w:p>
      <w:pPr>
        <w:pStyle w:val="T1"/>
        <w:rPr>
          <w:lang w:val="nl-NL"/>
        </w:rPr>
      </w:pPr>
      <w:r>
        <w:rPr>
          <w:lang w:val="nl-NL"/>
        </w:rPr>
        <w:t>Mense Ruiter 1975</w:t>
      </w:r>
    </w:p>
    <w:p>
      <w:pPr>
        <w:pStyle w:val="T1"/>
        <w:numPr>
          <w:ilvl w:val="0"/>
          <w:numId w:val="5"/>
        </w:numPr>
        <w:rPr>
          <w:lang w:val="nl-NL"/>
        </w:rPr>
      </w:pPr>
      <w:r>
        <w:rPr>
          <w:lang w:val="nl-NL"/>
        </w:rPr>
        <w:t>windlade gerestaureerd; pulpeten door een strip met loden afdichtingsringen vervangen, ventielen opnieuw bevilt en beleerd</w:t>
      </w:r>
    </w:p>
    <w:p>
      <w:pPr>
        <w:pStyle w:val="T1"/>
        <w:numPr>
          <w:ilvl w:val="0"/>
          <w:numId w:val="5"/>
        </w:numPr>
        <w:rPr>
          <w:lang w:val="nl-NL"/>
        </w:rPr>
      </w:pPr>
      <w:r>
        <w:rPr>
          <w:lang w:val="nl-NL"/>
        </w:rPr>
        <w:t>bovenblad balg van nieuwe panelen voorzien</w:t>
      </w:r>
    </w:p>
    <w:p>
      <w:pPr>
        <w:pStyle w:val="T1"/>
        <w:numPr>
          <w:ilvl w:val="0"/>
          <w:numId w:val="5"/>
        </w:numPr>
        <w:rPr/>
      </w:pPr>
      <w:r>
        <w:rPr/>
        <w:t>pedaalklavier bevoerd</w:t>
      </w:r>
    </w:p>
    <w:p>
      <w:pPr>
        <w:pStyle w:val="T1"/>
        <w:rPr/>
      </w:pPr>
      <w:r>
        <w:rPr/>
      </w:r>
    </w:p>
    <w:p>
      <w:pPr>
        <w:pStyle w:val="T1"/>
        <w:rPr/>
      </w:pPr>
      <w:r>
        <w:rPr/>
        <w:t>Mense Ruiter Orgelmakers 1996</w:t>
      </w:r>
    </w:p>
    <w:p>
      <w:pPr>
        <w:pStyle w:val="T1"/>
        <w:numPr>
          <w:ilvl w:val="0"/>
          <w:numId w:val="3"/>
        </w:numPr>
        <w:rPr>
          <w:lang w:val="nl-NL"/>
        </w:rPr>
      </w:pPr>
      <w:r>
        <w:rPr>
          <w:lang w:val="nl-NL"/>
        </w:rPr>
        <w:t>- ventiel, + tremulant</w:t>
      </w:r>
    </w:p>
    <w:p>
      <w:pPr>
        <w:pStyle w:val="T1"/>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Gemshoorn</w:t>
            </w:r>
          </w:p>
          <w:p>
            <w:pPr>
              <w:pStyle w:val="T4dispositie"/>
              <w:jc w:val="start"/>
              <w:rPr>
                <w:lang w:val="nl-NL"/>
              </w:rPr>
            </w:pPr>
            <w:r>
              <w:rPr>
                <w:lang w:val="nl-NL"/>
              </w:rPr>
              <w:t>Mixtuur</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917" w:type="dxa"/>
        <w:jc w:val="start"/>
        <w:tblInd w:w="-70" w:type="dxa"/>
        <w:tblLayout w:type="fixed"/>
        <w:tblCellMar>
          <w:top w:w="0" w:type="dxa"/>
          <w:start w:w="70" w:type="dxa"/>
          <w:bottom w:w="0" w:type="dxa"/>
          <w:end w:w="70" w:type="dxa"/>
        </w:tblCellMar>
      </w:tblPr>
      <w:tblGrid>
        <w:gridCol w:w="1023"/>
        <w:gridCol w:w="718"/>
        <w:gridCol w:w="718"/>
        <w:gridCol w:w="729"/>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dis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(1900)</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g en gis.</w:t>
      </w:r>
    </w:p>
    <w:p>
      <w:pPr>
        <w:pStyle w:val="T1"/>
        <w:jc w:val="start"/>
        <w:rPr>
          <w:lang w:val="nl-NL"/>
        </w:rPr>
      </w:pPr>
      <w:r>
        <w:rPr>
          <w:lang w:val="nl-NL"/>
        </w:rPr>
        <w:t>In de oorspronkelijke situatie was de Melophone van C-H gecombineerd met de Prestant.</w:t>
      </w:r>
    </w:p>
    <w:p>
      <w:pPr>
        <w:pStyle w:val="T1"/>
        <w:jc w:val="start"/>
        <w:rPr>
          <w:lang w:val="nl-NL"/>
        </w:rPr>
      </w:pPr>
      <w:r>
        <w:rPr>
          <w:lang w:val="nl-NL"/>
        </w:rPr>
        <w:t>Het handklavier is een eiken staartklavier, de ondertoetsen hebben beleg van ivoor. De registerknoppen van de sprekende registers zijn boven de lessenaar aangebracht. Het porseleinen naamplaatje van het Ventiel wordt in het orgel bewaard.</w:t>
      </w:r>
    </w:p>
    <w:p>
      <w:pPr>
        <w:pStyle w:val="T1"/>
        <w:jc w:val="start"/>
        <w:rPr>
          <w:lang w:val="nl-NL"/>
        </w:rPr>
      </w:pPr>
      <w:r>
        <w:rPr>
          <w:lang w:val="nl-NL"/>
        </w:rPr>
        <w:t>Het windtoestel is onder in de kas geplaatst. De Tremulant is een pneumatisch exemplaar.</w:t>
      </w:r>
    </w:p>
    <w:p>
      <w:pPr>
        <w:pStyle w:val="T1"/>
        <w:jc w:val="start"/>
        <w:rPr>
          <w:lang w:val="nl-NL"/>
        </w:rPr>
      </w:pPr>
      <w:r>
        <w:rPr>
          <w:lang w:val="nl-NL"/>
        </w:rPr>
        <w:t>De lade heeft een eiken cancellenraam en mahonie stokken. De cancelvolgorde is:</w:t>
      </w:r>
    </w:p>
    <w:p>
      <w:pPr>
        <w:pStyle w:val="T1"/>
        <w:jc w:val="start"/>
        <w:rPr/>
      </w:pPr>
      <w:r>
        <w:rPr>
          <w:lang w:val="nl-NL"/>
        </w:rPr>
        <w:t>(klavierzijde) f cis A G H dis g / f</w:t>
      </w:r>
      <w:r>
        <w:rPr>
          <w:vertAlign w:val="superscript"/>
          <w:lang w:val="nl-NL"/>
        </w:rPr>
        <w:t>3</w:t>
      </w:r>
      <w:r>
        <w:rPr>
          <w:lang w:val="nl-NL"/>
        </w:rPr>
        <w:t>-a / F Dis Cis C D E Fis / b-e</w:t>
      </w:r>
      <w:r>
        <w:rPr>
          <w:vertAlign w:val="superscript"/>
          <w:lang w:val="nl-NL"/>
        </w:rPr>
        <w:t>3</w:t>
      </w:r>
      <w:r>
        <w:rPr>
          <w:lang w:val="nl-NL"/>
        </w:rPr>
        <w:t xml:space="preserve"> / gis e c Gis B d fis.</w:t>
      </w:r>
    </w:p>
    <w:p>
      <w:pPr>
        <w:pStyle w:val="T1"/>
        <w:jc w:val="start"/>
        <w:rPr>
          <w:lang w:val="nl-NL"/>
        </w:rPr>
      </w:pPr>
      <w:r>
        <w:rPr>
          <w:lang w:val="nl-NL"/>
        </w:rPr>
        <w:t>Onder de lade bevindt zich een eiken walsraam met grenen walsen.</w:t>
      </w:r>
    </w:p>
    <w:p>
      <w:pPr>
        <w:pStyle w:val="T1"/>
        <w:jc w:val="start"/>
        <w:rPr/>
      </w:pPr>
      <w:r>
        <w:rPr>
          <w:lang w:val="nl-NL"/>
        </w:rPr>
        <w:t>De frontpijpen zijn van tin. De Prestant heeft open houten pijpen voor C-Dis, E-e</w:t>
      </w:r>
      <w:r>
        <w:rPr>
          <w:vertAlign w:val="superscript"/>
          <w:lang w:val="nl-NL"/>
        </w:rPr>
        <w:t>1</w:t>
      </w:r>
      <w:r>
        <w:rPr>
          <w:lang w:val="nl-NL"/>
        </w:rPr>
        <w:t xml:space="preserve"> staan in het front (middentoren, zijtorens exclusief de grootste en aan weerszijden de drie grootste pijpen in de onderste velden). Van de Bourdon 8’ zijn C-H van oregon pine. De Viola di Gamba is in het groot octaaf gecombineerd met de Bourdon 8'. Van de Octaaf 4' staan C en Cis in het front, in elke zijtoren de grootste pijp. De Fluit 4' is gedekt, het hoogste octaaf hiervan open, conisch. De Gemshoorn 2' is open, conisch. De 20 pijpen van de Bourdon B 16' zijn van oregonpine, en worden met flexconducten uit de boringen van de kantsleep gevoed. C-Dis staan tegen de achterwand, tegen beide zijkanten van de kas zijn zes pijpen opgesteld. Vrijwel alle pijpen zijn gekropt. De Bourdon D 16' heeft voor gis-h pijpen van oregonpine uit 1962, geplaatst boven de lade. Vanaf c</w:t>
      </w:r>
      <w:r>
        <w:rPr>
          <w:vertAlign w:val="superscript"/>
          <w:lang w:val="nl-NL"/>
        </w:rPr>
        <w:t>1</w:t>
      </w:r>
      <w:r>
        <w:rPr>
          <w:lang w:val="nl-NL"/>
        </w:rPr>
        <w:t xml:space="preserve"> heeft het register metalen pijpen uit 1948.</w:t>
      </w:r>
    </w:p>
    <w:p>
      <w:pPr>
        <w:pStyle w:val="T1"/>
        <w:jc w:val="start"/>
        <w:rPr/>
      </w:pPr>
      <w:r>
        <w:rPr>
          <w:lang w:val="nl-NL"/>
        </w:rPr>
        <w:t>Al het metalen pijpwerk van 1900 heeft spits geritste bovenlabia. Expressions zijn toegepast bij de binnenpijpen van de Prestant (f</w:t>
      </w:r>
      <w:r>
        <w:rPr>
          <w:vertAlign w:val="superscript"/>
          <w:lang w:val="nl-NL"/>
        </w:rPr>
        <w:t>1</w:t>
      </w:r>
      <w:r>
        <w:rPr>
          <w:lang w:val="nl-NL"/>
        </w:rPr>
        <w:t>-h</w:t>
      </w:r>
      <w:r>
        <w:rPr>
          <w:vertAlign w:val="superscript"/>
          <w:lang w:val="nl-NL"/>
        </w:rPr>
        <w:t>2</w:t>
      </w:r>
      <w:r>
        <w:rPr>
          <w:lang w:val="nl-NL"/>
        </w:rPr>
        <w:t>), de Viola di Gamba (c-h</w:t>
      </w:r>
      <w:r>
        <w:rPr>
          <w:vertAlign w:val="superscript"/>
          <w:lang w:val="nl-NL"/>
        </w:rPr>
        <w:t>2</w:t>
      </w:r>
      <w:r>
        <w:rPr>
          <w:lang w:val="nl-NL"/>
        </w:rPr>
        <w:t>), de Octaaf 4' (C-h</w:t>
      </w:r>
      <w:r>
        <w:rPr>
          <w:vertAlign w:val="superscript"/>
          <w:lang w:val="nl-NL"/>
        </w:rPr>
        <w:t>1</w:t>
      </w:r>
      <w:r>
        <w:rPr>
          <w:lang w:val="nl-NL"/>
        </w:rPr>
        <w:t>) en Gemshoorn 2' (C-g). Het pijpwerk van de Mixtuur is deels van stemkrullen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ages>3</Pages>
  <Words>725</Words>
  <Characters>3864</Characters>
  <CharactersWithSpaces>4477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2008-05-05T13:57:00Z</dcterms:created>
  <dc:creator>WS1</dc:creator>
  <dc:description/>
  <dc:language>en-US</dc:language>
  <cp:lastModifiedBy>NIvO</cp:lastModifiedBy>
  <cp:lastPrinted>2002-01-08T11:24:00Z</cp:lastPrinted>
  <dcterms:modified xsi:type="dcterms:W3CDTF">2008-07-21T11:33:00Z</dcterms:modified>
  <cp:revision>4</cp:revision>
  <dc:subject/>
  <dc:title>Vrouwenpolder/ca 1845</dc:title>
</cp:coreProperties>
</file>