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Oudemirdum (Aldemardum) / 1900</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Oorspronkelijk eenbeukige driezijdig gesloten zaalkerk uit 1790, in 1926 aan de noordzijde met een tweede, rechtgesloten beuk vergroot. Inwendig een zerk van Bremer zandsteen uit de 12e eeuw, een kansel uit ca 1650 en een door Ype Staak in 1790 gemaakt gebrandschilderd raam.</w:t>
      </w:r>
    </w:p>
    <w:p>
      <w:pPr>
        <w:pStyle w:val="T1"/>
        <w:jc w:val="start"/>
        <w:rPr>
          <w:i/>
          <w:i/>
          <w:iCs/>
          <w:lang w:val="nl-NL"/>
        </w:rPr>
      </w:pPr>
      <w:r>
        <w:rPr>
          <w:i/>
          <w:iCs/>
          <w:lang w:val="nl-NL"/>
        </w:rPr>
      </w:r>
    </w:p>
    <w:p>
      <w:pPr>
        <w:pStyle w:val="T1"/>
        <w:jc w:val="start"/>
        <w:rPr>
          <w:lang w:val="nl-NL"/>
        </w:rPr>
      </w:pPr>
      <w:r>
        <w:rPr>
          <w:lang w:val="nl-NL"/>
        </w:rPr>
        <w:t>Kas: 1900</w:t>
      </w:r>
    </w:p>
    <w:p>
      <w:pPr>
        <w:pStyle w:val="Heading2"/>
        <w:rPr>
          <w:i w:val="false"/>
          <w:i w:val="false"/>
          <w:iCs/>
        </w:rPr>
      </w:pPr>
      <w:r>
        <w:rPr>
          <w:i w:val="false"/>
          <w:iCs/>
        </w:rPr>
        <w:t>Kunsthistorische aspecten</w:t>
      </w:r>
    </w:p>
    <w:p>
      <w:pPr>
        <w:pStyle w:val="T2Kunst"/>
        <w:jc w:val="start"/>
        <w:rPr>
          <w:lang w:val="nl-NL"/>
        </w:rPr>
      </w:pPr>
      <w:r>
        <w:rPr>
          <w:lang w:val="nl-NL"/>
        </w:rPr>
        <w:t>Vijfledig front, te plaatsen in de reeks fronten die op het werk van de Adema’s zijn terug te voeren. De uitvoering, ook wat de ornamentiek betreft, is vrijwel gelijk aan het orgel van Sondel (1897), dus met rechte tussenvelden. Geen blinderingen bij de pijpvoeten, voluten, bladranken en bloemen in de blinderingen. Bij de blinderingen in het boogvormig veld is hier geen bloem aangebracht.</w:t>
      </w:r>
    </w:p>
    <w:p>
      <w:pPr>
        <w:pStyle w:val="T2Kunst"/>
        <w:jc w:val="start"/>
        <w:rPr>
          <w:lang w:val="nl-NL"/>
        </w:rPr>
      </w:pPr>
      <w:r>
        <w:rPr>
          <w:lang w:val="nl-NL"/>
        </w:rPr>
        <w:t>Afwijkend is de vorm van de vleugelstukken. De wijnrank en de vogel zijn hier vervangen door een afhangende tak met bladeren en vruchten. De vorm van het stuk keert aan de onderzijde hier niet naar de kas terug, maar is door een laatste C-voluut, wederom gevuld met afhangende tak, met de bovenlijst van de balustrade verbonden.</w:t>
      </w:r>
    </w:p>
    <w:p>
      <w:pPr>
        <w:pStyle w:val="T2Kunst"/>
        <w:jc w:val="start"/>
        <w:rPr>
          <w:b/>
          <w:b/>
          <w:bCs/>
          <w:lang w:val="nl-NL"/>
        </w:rPr>
      </w:pPr>
      <w:r>
        <w:rPr>
          <w:lang w:val="nl-NL"/>
        </w:rPr>
        <w:t>Vóór de kerkrestauratie van 2000 was het orgel in eikenimitatie geschilderd, voorzien van vergulde biezen, paneelcontouren en accenten in het gesneden ornament.</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Cs/>
          <w:lang w:val="nl-NL"/>
        </w:rPr>
        <w:t xml:space="preserve">Jan Jongepier, </w:t>
      </w:r>
      <w:r>
        <w:rPr>
          <w:i/>
          <w:iCs/>
          <w:lang w:val="nl-NL"/>
        </w:rPr>
        <w:t>Vijf eeuwen Friese orgelbouw.</w:t>
      </w:r>
      <w:r>
        <w:rPr>
          <w:iCs/>
          <w:lang w:val="nl-NL"/>
        </w:rPr>
        <w:t xml:space="preserve"> Leeuwarden, 2004, 204.</w:t>
      </w:r>
    </w:p>
    <w:p>
      <w:pPr>
        <w:pStyle w:val="T3Lit"/>
        <w:jc w:val="start"/>
        <w:rPr/>
      </w:pPr>
      <w:r>
        <w:rPr>
          <w:i/>
          <w:iCs/>
          <w:lang w:val="nl-NL"/>
        </w:rPr>
        <w:t>De Orgelkrant</w:t>
      </w:r>
      <w:r>
        <w:rPr>
          <w:iCs/>
          <w:lang w:val="nl-NL"/>
        </w:rPr>
        <w:t>, 5/10 (2000), 6-7.</w:t>
      </w:r>
    </w:p>
    <w:p>
      <w:pPr>
        <w:pStyle w:val="T3Lit"/>
        <w:jc w:val="start"/>
        <w:rPr>
          <w:iCs/>
          <w:lang w:val="nl-NL"/>
        </w:rPr>
      </w:pPr>
      <w:r>
        <w:rPr>
          <w:iCs/>
          <w:lang w:val="nl-NL"/>
        </w:rPr>
      </w:r>
    </w:p>
    <w:p>
      <w:pPr>
        <w:pStyle w:val="T3Lit"/>
        <w:jc w:val="start"/>
        <w:rPr>
          <w:lang w:val="nl-NL"/>
        </w:rPr>
      </w:pPr>
      <w:r>
        <w:rPr>
          <w:b/>
          <w:bCs/>
          <w:lang w:val="nl-NL"/>
        </w:rPr>
        <w:t>Niet gepubliceerde bronnen</w:t>
      </w:r>
    </w:p>
    <w:p>
      <w:pPr>
        <w:pStyle w:val="T3Lit"/>
        <w:jc w:val="start"/>
        <w:rPr>
          <w:rFonts w:ascii="Arial Unicode MS" w:hAnsi="Arial Unicode MS" w:eastAsia="Arial Unicode MS" w:cs="Arial Unicode MS"/>
          <w:szCs w:val="24"/>
          <w:lang w:val="nl-NL"/>
        </w:rPr>
      </w:pPr>
      <w:r>
        <w:rPr>
          <w:rFonts w:cs="Arial" w:ascii="Arial" w:hAnsi="Arial"/>
          <w:lang w:val="nl-NL"/>
        </w:rPr>
        <w:t>Archief Orgelmakerij Bakker &amp; Timmenga, Leeuwarden, HCL.</w:t>
      </w:r>
    </w:p>
    <w:p>
      <w:pPr>
        <w:pStyle w:val="T3Lit"/>
        <w:jc w:val="start"/>
        <w:rPr>
          <w:lang w:val="nl-NL"/>
        </w:rPr>
      </w:pPr>
      <w:r>
        <w:rPr>
          <w:rFonts w:cs="Arial" w:ascii="Arial" w:hAnsi="Arial"/>
          <w:lang w:val="nl-NL"/>
        </w:rPr>
        <w:t xml:space="preserve">Jan Jongepier, </w:t>
      </w:r>
      <w:r>
        <w:rPr>
          <w:rFonts w:cs="Arial" w:ascii="Arial" w:hAnsi="Arial"/>
          <w:i/>
          <w:iCs/>
          <w:lang w:val="nl-NL"/>
        </w:rPr>
        <w:t>Rapport over het orgel in de Hervormde Kerk te Oudemirdum</w:t>
      </w:r>
      <w:r>
        <w:rPr>
          <w:rFonts w:cs="Arial" w:ascii="Arial" w:hAnsi="Arial"/>
          <w:lang w:val="nl-NL"/>
        </w:rPr>
        <w:t>. Leeuwarden, 1996.</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Bakker &amp; Timmenga 1944</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frontpijpen gepolijst</w:t>
      </w:r>
    </w:p>
    <w:p>
      <w:pPr>
        <w:pStyle w:val="T1"/>
        <w:jc w:val="start"/>
        <w:rPr>
          <w:lang w:val="nl-NL"/>
        </w:rPr>
      </w:pPr>
      <w:r>
        <w:rPr>
          <w:lang w:val="nl-NL"/>
        </w:rPr>
      </w:r>
    </w:p>
    <w:p>
      <w:pPr>
        <w:pStyle w:val="T1"/>
        <w:jc w:val="start"/>
        <w:rPr>
          <w:lang w:val="nl-NL"/>
        </w:rPr>
      </w:pPr>
      <w:r>
        <w:rPr>
          <w:lang w:val="nl-NL"/>
        </w:rPr>
        <w:t>Bakker &amp; Timmenga 1951</w:t>
      </w:r>
    </w:p>
    <w:p>
      <w:pPr>
        <w:pStyle w:val="T1"/>
        <w:numPr>
          <w:ilvl w:val="0"/>
          <w:numId w:val="3"/>
        </w:numPr>
        <w:jc w:val="start"/>
        <w:rPr>
          <w:lang w:val="nl-NL"/>
        </w:rPr>
      </w:pPr>
      <w:r>
        <w:rPr>
          <w:lang w:val="nl-NL"/>
        </w:rPr>
        <w:t>+ Mixtuur 2-3 st. op gereserveerde plaats Cornet</w:t>
      </w:r>
    </w:p>
    <w:p>
      <w:pPr>
        <w:pStyle w:val="T1"/>
        <w:jc w:val="start"/>
        <w:rPr>
          <w:lang w:val="nl-NL"/>
        </w:rPr>
      </w:pPr>
      <w:r>
        <w:rPr>
          <w:lang w:val="nl-NL"/>
        </w:rPr>
      </w:r>
    </w:p>
    <w:p>
      <w:pPr>
        <w:pStyle w:val="T1"/>
        <w:jc w:val="start"/>
        <w:rPr>
          <w:lang w:val="nl-NL"/>
        </w:rPr>
      </w:pPr>
      <w:r>
        <w:rPr>
          <w:lang w:val="nl-NL"/>
        </w:rPr>
        <w:t>Orgelmakerij Bakker &amp; Timmenga 2000</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kas overgeschilderd in mahonie-imitatie</w:t>
      </w:r>
    </w:p>
    <w:p>
      <w:pPr>
        <w:pStyle w:val="T1"/>
        <w:numPr>
          <w:ilvl w:val="0"/>
          <w:numId w:val="3"/>
        </w:numPr>
        <w:jc w:val="start"/>
        <w:rPr>
          <w:lang w:val="nl-NL"/>
        </w:rPr>
      </w:pPr>
      <w:r>
        <w:rPr>
          <w:lang w:val="nl-NL"/>
        </w:rPr>
        <w:t>cancellenraam windlade van hechthouten platen voorzien; geweven ringen aangebracht op bovenzijde lade en onderkant stokken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pPr>
            <w:r>
              <w:rPr>
                <w:lang w:val="nl-NL"/>
              </w:rPr>
              <w:t>Vio</w:t>
            </w:r>
            <w:r>
              <w:rPr>
                <w:lang w:val="en-GB"/>
              </w:rPr>
              <w:t>la di Gamba</w:t>
            </w:r>
          </w:p>
          <w:p>
            <w:pPr>
              <w:pStyle w:val="T4dispositie"/>
              <w:jc w:val="start"/>
              <w:rPr>
                <w:lang w:val="en-GB"/>
              </w:rPr>
            </w:pPr>
            <w:r>
              <w:rPr>
                <w:lang w:val="en-GB"/>
              </w:rPr>
              <w:t>Octaaf</w:t>
            </w:r>
          </w:p>
          <w:p>
            <w:pPr>
              <w:pStyle w:val="T4dispositie"/>
              <w:jc w:val="start"/>
              <w:rPr>
                <w:lang w:val="nl-NL"/>
              </w:rPr>
            </w:pPr>
            <w:r>
              <w:rPr>
                <w:lang w:val="nl-NL"/>
              </w:rPr>
              <w:t>Fluit d’amour</w:t>
            </w:r>
          </w:p>
          <w:p>
            <w:pPr>
              <w:pStyle w:val="T4dispositie"/>
              <w:jc w:val="start"/>
              <w:rPr>
                <w:lang w:val="nl-NL"/>
              </w:rPr>
            </w:pPr>
            <w:r>
              <w:rPr>
                <w:lang w:val="nl-NL"/>
              </w:rPr>
              <w:t>Gemshorn</w:t>
            </w:r>
          </w:p>
          <w:p>
            <w:pPr>
              <w:pStyle w:val="T4dispositie"/>
              <w:jc w:val="start"/>
              <w:rPr>
                <w:lang w:val="nl-NL"/>
              </w:rPr>
            </w:pPr>
            <w:r>
              <w:rPr>
                <w:lang w:val="nl-NL"/>
              </w:rPr>
              <w:t>Mixtuur</w:t>
            </w:r>
          </w:p>
          <w:p>
            <w:pPr>
              <w:pStyle w:val="T4dispositie"/>
              <w:jc w:val="start"/>
              <w:rPr>
                <w:lang w:val="nl-NL"/>
              </w:rPr>
            </w:pPr>
            <w:r>
              <w:rPr>
                <w:lang w:val="nl-NL"/>
              </w:rPr>
              <w:t>Trompet B/D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en-GB"/>
              </w:rPr>
            </w:pPr>
            <w:r>
              <w:rPr>
                <w:lang w:val="en-GB"/>
              </w:rPr>
              <w:t>16</w:t>
            </w:r>
            <w:r>
              <w:rPr/>
              <w:t>'</w:t>
            </w:r>
          </w:p>
          <w:p>
            <w:pPr>
              <w:pStyle w:val="T4dispositie"/>
              <w:jc w:val="start"/>
              <w:rPr>
                <w:lang w:val="en-GB"/>
              </w:rPr>
            </w:pPr>
            <w:r>
              <w:rPr>
                <w:lang w:val="en-GB"/>
              </w:rPr>
              <w:t>8</w:t>
            </w:r>
            <w:r>
              <w:rPr/>
              <w:t>'</w:t>
            </w:r>
          </w:p>
          <w:p>
            <w:pPr>
              <w:pStyle w:val="T4dispositie"/>
              <w:jc w:val="start"/>
              <w:rPr>
                <w:lang w:val="en-GB"/>
              </w:rPr>
            </w:pPr>
            <w:r>
              <w:rPr>
                <w:lang w:val="en-GB"/>
              </w:rPr>
              <w:t>8</w:t>
            </w:r>
            <w:r>
              <w:rPr/>
              <w:t>'</w:t>
            </w:r>
          </w:p>
          <w:p>
            <w:pPr>
              <w:pStyle w:val="T4dispositie"/>
              <w:jc w:val="start"/>
              <w:rPr/>
            </w:pPr>
            <w:r>
              <w:rPr/>
              <w:t>8</w:t>
            </w:r>
          </w:p>
          <w:p>
            <w:pPr>
              <w:pStyle w:val="T4dispositie"/>
              <w:jc w:val="start"/>
              <w:rPr>
                <w:lang w:val="en-GB"/>
              </w:rPr>
            </w:pPr>
            <w:r>
              <w:rPr/>
              <w:t>4'</w:t>
            </w:r>
          </w:p>
          <w:p>
            <w:pPr>
              <w:pStyle w:val="T4dispositie"/>
              <w:jc w:val="start"/>
              <w:rPr>
                <w:lang w:val="en-GB"/>
              </w:rPr>
            </w:pPr>
            <w:r>
              <w:rPr/>
              <w:t>4'</w:t>
            </w:r>
          </w:p>
          <w:p>
            <w:pPr>
              <w:pStyle w:val="T4dispositie"/>
              <w:jc w:val="start"/>
              <w:rPr>
                <w:lang w:val="en-GB"/>
              </w:rPr>
            </w:pPr>
            <w:r>
              <w:rPr>
                <w:lang w:val="en-GB"/>
              </w:rPr>
              <w:t>2'</w:t>
            </w:r>
          </w:p>
          <w:p>
            <w:pPr>
              <w:pStyle w:val="T4dispositie"/>
              <w:jc w:val="start"/>
              <w:rPr>
                <w:lang w:val="en-GB"/>
              </w:rPr>
            </w:pPr>
            <w:r>
              <w:rPr>
                <w:lang w:val="en-GB"/>
              </w:rPr>
              <w:t>2-3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4635" w:type="dxa"/>
        <w:jc w:val="start"/>
        <w:tblInd w:w="-70" w:type="dxa"/>
        <w:tblLayout w:type="fixed"/>
        <w:tblCellMar>
          <w:top w:w="0" w:type="dxa"/>
          <w:start w:w="70" w:type="dxa"/>
          <w:bottom w:w="0" w:type="dxa"/>
          <w:end w:w="70" w:type="dxa"/>
        </w:tblCellMar>
      </w:tblPr>
      <w:tblGrid>
        <w:gridCol w:w="1023"/>
        <w:gridCol w:w="729"/>
        <w:gridCol w:w="718"/>
        <w:gridCol w:w="718"/>
        <w:gridCol w:w="729"/>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w:t>
            </w:r>
          </w:p>
          <w:p>
            <w:pPr>
              <w:pStyle w:val="T4dispositie"/>
              <w:rPr/>
            </w:pPr>
            <w:r>
              <w:rPr/>
              <w:t>1 1/3</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tc>
        <w:tc>
          <w:tcPr>
            <w:tcW w:w="718"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(1900)</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pPr>
      <w:r>
        <w:rPr>
          <w:lang w:val="nl-NL"/>
        </w:rPr>
        <w:t>Deling B/D tussen h en c</w:t>
      </w:r>
      <w:r>
        <w:rPr>
          <w:vertAlign w:val="superscript"/>
          <w:lang w:val="nl-NL"/>
        </w:rPr>
        <w:t>1</w:t>
      </w:r>
      <w:r>
        <w:rPr>
          <w:lang w:val="nl-NL"/>
        </w:rPr>
        <w:t>.</w:t>
      </w:r>
    </w:p>
    <w:p>
      <w:pPr>
        <w:pStyle w:val="T1"/>
        <w:jc w:val="start"/>
        <w:rPr/>
      </w:pPr>
      <w:r>
        <w:rPr/>
        <w:t xml:space="preserve">De frontpijpen zijn van tin. </w:t>
      </w:r>
      <w:r>
        <w:rPr>
          <w:lang w:val="nl-NL"/>
        </w:rPr>
        <w:t>In de drie torens en een deel van de onderste tussenvelden spreken C-f</w:t>
      </w:r>
      <w:r>
        <w:rPr>
          <w:vertAlign w:val="superscript"/>
          <w:lang w:val="nl-NL"/>
        </w:rPr>
        <w:t>1</w:t>
      </w:r>
      <w:r>
        <w:rPr>
          <w:lang w:val="nl-NL"/>
        </w:rPr>
        <w:t xml:space="preserve"> van de Prestant 8'. De overige frontpijpen zijn stom en hebben geen kern.</w:t>
      </w:r>
    </w:p>
    <w:p>
      <w:pPr>
        <w:pStyle w:val="T1"/>
        <w:jc w:val="start"/>
        <w:rPr>
          <w:lang w:val="nl-NL"/>
        </w:rPr>
      </w:pPr>
      <w:r>
        <w:rPr>
          <w:lang w:val="nl-NL"/>
        </w:rPr>
        <w:t>Het handklavier is een eiken staartklavier, de ondertoetsen hebben beleg van ivoor, in twee delen per toets opgelijmd. Het pedaalklavier is van eiken De boventoetsen hebben een korte gelijke lengtemaat. De registerknoppen zijn in horizontale rangschikking boven de lessenaar aangebracht. Ze zijn voorzien van witte porseleinen plaatjes waarop met zwarte letters de namen zijn aangebracht.</w:t>
      </w:r>
    </w:p>
    <w:p>
      <w:pPr>
        <w:pStyle w:val="T1"/>
        <w:jc w:val="start"/>
        <w:rPr>
          <w:lang w:val="nl-NL"/>
        </w:rPr>
      </w:pPr>
      <w:r>
        <w:rPr>
          <w:lang w:val="nl-NL"/>
        </w:rPr>
        <w:t>De windvoorziening is in de onderkas ondergebracht. De tremulant is een inliggend exemplaar.</w:t>
      </w:r>
    </w:p>
    <w:p>
      <w:pPr>
        <w:pStyle w:val="T1"/>
        <w:jc w:val="start"/>
        <w:rPr/>
      </w:pPr>
      <w:r>
        <w:rPr>
          <w:lang w:val="nl-NL"/>
        </w:rPr>
        <w:t>De ventielkast en het cancellenraam van de windlade zijn van eiken; de stokken en roosters zijn van mahonie. De cancelvolgorde is als volgt (f aan de klavierzijde): fis d B Gis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w:t>
      </w:r>
    </w:p>
    <w:p>
      <w:pPr>
        <w:pStyle w:val="T1"/>
        <w:jc w:val="start"/>
        <w:rPr>
          <w:lang w:val="nl-NL"/>
        </w:rPr>
      </w:pPr>
      <w:r>
        <w:rPr>
          <w:lang w:val="nl-NL"/>
        </w:rPr>
        <w:t>C-c van de Bourdon 16' staan op een eigen laatje, tegen de zijwand van de kas aan de pompkant, met een eigen mechaniek vanaf een extra walsarm aan de onderzijde van de walsen. Het walsraam is van eiken en bevat grenen walsen met metalen armen aan de bovenzijde en houten armen aan de onderzijde.</w:t>
      </w:r>
    </w:p>
    <w:p>
      <w:pPr>
        <w:pStyle w:val="T1"/>
        <w:jc w:val="start"/>
        <w:rPr/>
      </w:pPr>
      <w:r>
        <w:rPr>
          <w:lang w:val="nl-NL"/>
        </w:rPr>
        <w:t>Voor C-h van de Bourdon 16' en C-H van de Holpijp 8' zijn houten pijpen toegepast, corpora van grenen, voorslagen, bodems, kernen en stoppen van eiken. Het metalen pijpwerk heeft spits geritste labia, behalve de Mixtuur, die geperste labia heeft. De Viola di Gamba is van C-H gecombineerd met de Holpijp. De Fluit d’amour is van C-f</w:t>
      </w:r>
      <w:r>
        <w:rPr>
          <w:vertAlign w:val="superscript"/>
          <w:lang w:val="nl-NL"/>
        </w:rPr>
        <w:t>2</w:t>
      </w:r>
      <w:r>
        <w:rPr>
          <w:lang w:val="nl-NL"/>
        </w:rPr>
        <w:t xml:space="preserve"> gedekt en verder open, conisch.</w:t>
      </w:r>
    </w:p>
    <w:p>
      <w:pPr>
        <w:pStyle w:val="T1"/>
        <w:jc w:val="start"/>
        <w:rPr/>
      </w:pPr>
      <w:r>
        <w:rPr>
          <w:lang w:val="nl-NL"/>
        </w:rPr>
        <w:t>Expressions zijn toegepast bij de Prestant 8' en Viola di Gamba 8' tot en met h</w:t>
      </w:r>
      <w:r>
        <w:rPr>
          <w:vertAlign w:val="superscript"/>
          <w:lang w:val="nl-NL"/>
        </w:rPr>
        <w:t>2</w:t>
      </w:r>
      <w:r>
        <w:rPr>
          <w:lang w:val="nl-NL"/>
        </w:rPr>
        <w:t>; bij de Octaaf 4' tot en met h</w:t>
      </w:r>
      <w:r>
        <w:rPr>
          <w:vertAlign w:val="superscript"/>
          <w:lang w:val="nl-NL"/>
        </w:rPr>
        <w:t>1</w:t>
      </w:r>
      <w:r>
        <w:rPr>
          <w:lang w:val="nl-NL"/>
        </w:rPr>
        <w:t xml:space="preserve">, bij de Gemshorn 2' (prestantmensuur, naaminscriptie </w:t>
      </w:r>
      <w:r>
        <w:rPr>
          <w:i/>
          <w:iCs/>
          <w:lang w:val="nl-NL"/>
        </w:rPr>
        <w:t>Octaaf 2vt</w:t>
      </w:r>
      <w:r>
        <w:rPr>
          <w:lang w:val="nl-NL"/>
        </w:rPr>
        <w:t>) tot en met h. Bij de Mixtuur zijn expressions aangebracht tot 1/3-voets lengte.</w:t>
      </w:r>
    </w:p>
    <w:p>
      <w:pPr>
        <w:pStyle w:val="T1"/>
        <w:jc w:val="start"/>
        <w:rPr>
          <w:lang w:val="nl-NL"/>
        </w:rPr>
      </w:pPr>
      <w:r>
        <w:rPr>
          <w:lang w:val="nl-NL"/>
        </w:rPr>
        <w:t>Curieus voor het werk van Bakker &amp; Timmenga is de uitvoering van de Trompet met stevels en koppen van mahonie, waarbij voor C-f de koppen en kelen per toon uit één stuk mahonie zijn gemaakt. De trechtervormige bekers zijn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extBodyIndent">
    <w:name w:val="Body Text Indent"/>
    <w:basedOn w:val="Normal"/>
    <w:pPr>
      <w:widowControl/>
      <w:ind w:start="540" w:hanging="705"/>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2008-05-05T14:02:00Z</dcterms:created>
  <dc:creator>WS1</dc:creator>
  <dc:description/>
  <dc:language>en-US</dc:language>
  <cp:lastModifiedBy>NIvO</cp:lastModifiedBy>
  <dcterms:modified xsi:type="dcterms:W3CDTF">2008-07-21T11:34:00Z</dcterms:modified>
  <cp:revision>3</cp:revision>
  <dc:subject/>
  <dc:title>Heumen / ca 1860</dc:title>
</cp:coreProperties>
</file>