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Mussel / ca 1900</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uit 1954 met eenvoudig torentje. In 1978 uitgebreid met nevenruimte.</w:t>
      </w:r>
    </w:p>
    <w:p>
      <w:pPr>
        <w:pStyle w:val="T1"/>
        <w:jc w:val="start"/>
        <w:rPr>
          <w:i/>
          <w:i/>
          <w:iCs/>
          <w:lang w:val="nl-NL"/>
        </w:rPr>
      </w:pPr>
      <w:r>
        <w:rPr>
          <w:i/>
          <w:iCs/>
          <w:lang w:val="nl-NL"/>
        </w:rPr>
      </w:r>
    </w:p>
    <w:p>
      <w:pPr>
        <w:pStyle w:val="T1"/>
        <w:jc w:val="start"/>
        <w:rPr>
          <w:lang w:val="nl-NL"/>
        </w:rPr>
      </w:pPr>
      <w:r>
        <w:rPr>
          <w:lang w:val="nl-NL"/>
        </w:rPr>
        <w:t>Kas: ca 1900</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Diverse niet originele elementen bemoeilijken een nadere duiding van dit zevenledige front. Dat het instrument uit het atelier van de gebroeders Van Oeckelen afkomstig moet zijn, blijkt behalve uit het front ook uit diverse technische aspecten. Het front is nauw verwant aan dat van het orgel te Vierhuizen (1892, deel 1886-1894, 282-283), dat van het niet meer bestaande orgel in de Gereformeerde Oosterkerk te Dokkum (1890) en aan dat van de Lutherse Kerk te Breda (1889, deel 1886-1894, 119-121); zij het dat dit laatste orgel spitse zijtorens heeft, en dat alleen de orgelfronten te Breda en Mussel van een onderbouw zijn voorzien. De hoofdindeling omvat een geronde middentoren met vijf pijpen, geflankeerd door vlakke velden met ieder oorspronkelijk twee pijpen (in 1926 zijn bij het Musselse orgel deze velden gedeeld), gedeelde tussenvelden en geronde zijtorens met ieder vijf pijpen (in Dokkum en Vierhuizen zeven). De zijtorens van het orgel te Breda zijn smaller dan die van de andere drie orgels.</w:t>
      </w:r>
    </w:p>
    <w:p>
      <w:pPr>
        <w:pStyle w:val="T2Kunst"/>
        <w:jc w:val="start"/>
        <w:rPr>
          <w:lang w:val="nl-NL"/>
        </w:rPr>
      </w:pPr>
      <w:r>
        <w:rPr>
          <w:lang w:val="nl-NL"/>
        </w:rPr>
        <w:t>Bij de plaatsing van het orgel in de Hervormde Evangelisatiekapel te Bargercompascuum in 1926 is het front vrij drastisch gewijzigd. Uit dat jaar dateren zonder twijfel de uiterst eenvoudige kasbekroningen en de zinken frontpijpen. Mogelijk werd het blinderingssnijwerk aan de pijpvoeten, dat sinds in elk geval 1926 behalve in de bovenste tussenvelden ontbreekt, deels gebruikt ten behoeve van de toen gecreëerde deling van de velden naast de middentoren. Door die deling is een karakteristiek Van Oeckelen-element verloren gegaan.</w:t>
      </w:r>
    </w:p>
    <w:p>
      <w:pPr>
        <w:pStyle w:val="T2Kunst"/>
        <w:jc w:val="start"/>
        <w:rPr>
          <w:lang w:val="nl-NL"/>
        </w:rPr>
      </w:pPr>
      <w:r>
        <w:rPr>
          <w:lang w:val="nl-NL"/>
        </w:rPr>
        <w:t>Opvallend is de in 1969 totaal gewijzigde kleurstelling van het front. In Bargercompascuum waren de in de balustrade opgenomen onderbouw en het eigenlijke front (inclusief de kasbekroningen) in een mahonie-imitatie geschilderd, terwijl het snijwerk met goudverf was bestreken. De huidige kleurstelling wijkt volstrekt af van in het huis Van Oeckelen gepraktiseerde principes. De eenvormige richting van de pijpenlabia in de tussenvelden en de, in vergelijking met originele Van Oeckelen-fronten, geringere variatie in de voethoogten van de frontpijpen in de torens, doen duidelijk afbreuk aan de plasticiteit van Van Oeckelen-fronten.</w:t>
      </w:r>
    </w:p>
    <w:p>
      <w:pPr>
        <w:pStyle w:val="T2Kunst"/>
        <w:jc w:val="start"/>
        <w:rPr>
          <w:lang w:val="nl-NL"/>
        </w:rPr>
      </w:pPr>
      <w:r>
        <w:rPr>
          <w:lang w:val="nl-NL"/>
        </w:rPr>
        <w:t>Het snijwerk is tamelijk grof van opzet en uitwerking, en mist de bij de Van Oeckelens gebruikelijke luciditeit. Zelfs in zodanige mate dat de vraag of ook het snijwerk uit 1926 dateert, alleszins is gerechtvaardigd.</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3 Oldambt/Westerwolde</w:t>
      </w:r>
      <w:r>
        <w:rPr>
          <w:lang w:val="nl-NL"/>
        </w:rPr>
        <w:t>. Groningen, 1996, 64-65.</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Orgelmakerij Steendam.</w:t>
      </w:r>
    </w:p>
    <w:p>
      <w:pPr>
        <w:pStyle w:val="T3Lit"/>
        <w:jc w:val="start"/>
        <w:rPr>
          <w:lang w:val="nl-NL"/>
        </w:rPr>
      </w:pPr>
      <w:r>
        <w:rPr>
          <w:lang w:val="nl-NL"/>
        </w:rPr>
        <w:t>Orgelarchief Peter van Dijk.</w:t>
      </w:r>
    </w:p>
    <w:p>
      <w:pPr>
        <w:pStyle w:val="T3Lit"/>
        <w:jc w:val="start"/>
        <w:rPr>
          <w:lang w:val="nl-NL"/>
        </w:rPr>
      </w:pPr>
      <w:r>
        <w:rPr>
          <w:lang w:val="nl-NL"/>
        </w:rPr>
        <w:t>Orgelarchief Geert-Jan Pottjewijd.</w:t>
      </w:r>
    </w:p>
    <w:p>
      <w:pPr>
        <w:pStyle w:val="T3Lit"/>
        <w:jc w:val="start"/>
        <w:rPr>
          <w:lang w:val="nl-NL"/>
        </w:rPr>
      </w:pPr>
      <w:r>
        <w:rPr>
          <w:lang w:val="nl-NL"/>
        </w:rPr>
      </w:r>
    </w:p>
    <w:p>
      <w:pPr>
        <w:pStyle w:val="T3Lit"/>
        <w:jc w:val="start"/>
        <w:rPr>
          <w:lang w:val="nl-NL"/>
        </w:rPr>
      </w:pPr>
      <w:r>
        <w:rPr>
          <w:lang w:val="nl-NL"/>
        </w:rPr>
        <w:t>Orgelnummer 1013</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1900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1926</w:t>
      </w:r>
    </w:p>
    <w:p>
      <w:pPr>
        <w:pStyle w:val="T1"/>
        <w:numPr>
          <w:ilvl w:val="0"/>
          <w:numId w:val="3"/>
        </w:numPr>
        <w:jc w:val="start"/>
        <w:rPr>
          <w:lang w:val="nl-NL"/>
        </w:rPr>
      </w:pPr>
      <w:r>
        <w:rPr>
          <w:lang w:val="nl-NL"/>
        </w:rPr>
        <w:t>orgel geplaatst te Bargercompascuum, Hervormde Evangelisatiekapel</w:t>
      </w:r>
    </w:p>
    <w:p>
      <w:pPr>
        <w:pStyle w:val="T1"/>
        <w:numPr>
          <w:ilvl w:val="0"/>
          <w:numId w:val="3"/>
        </w:numPr>
        <w:jc w:val="start"/>
        <w:rPr>
          <w:lang w:val="nl-NL"/>
        </w:rPr>
      </w:pPr>
      <w:r>
        <w:rPr>
          <w:lang w:val="nl-NL"/>
        </w:rPr>
        <w:t>front gewijzigd en nieuwe (zinken) frontpijpen geplaatst</w:t>
      </w:r>
    </w:p>
    <w:p>
      <w:pPr>
        <w:pStyle w:val="T1"/>
        <w:jc w:val="start"/>
        <w:rPr>
          <w:lang w:val="nl-NL"/>
        </w:rPr>
      </w:pPr>
      <w:r>
        <w:rPr>
          <w:lang w:val="nl-NL"/>
        </w:rPr>
      </w:r>
    </w:p>
    <w:p>
      <w:pPr>
        <w:pStyle w:val="T1"/>
        <w:jc w:val="start"/>
        <w:rPr>
          <w:lang w:val="nl-NL"/>
        </w:rPr>
      </w:pPr>
      <w:r>
        <w:rPr>
          <w:lang w:val="nl-NL"/>
        </w:rPr>
        <w:t>Mense Ruiter 1969</w:t>
      </w:r>
    </w:p>
    <w:p>
      <w:pPr>
        <w:pStyle w:val="T1"/>
        <w:numPr>
          <w:ilvl w:val="0"/>
          <w:numId w:val="2"/>
        </w:numPr>
        <w:jc w:val="start"/>
        <w:rPr>
          <w:lang w:val="nl-NL"/>
        </w:rPr>
      </w:pPr>
      <w:r>
        <w:rPr>
          <w:lang w:val="nl-NL"/>
        </w:rPr>
        <w:t>orgel geplaatst te Mussel, Hervormde Kerk</w:t>
      </w:r>
    </w:p>
    <w:p>
      <w:pPr>
        <w:pStyle w:val="T1"/>
        <w:numPr>
          <w:ilvl w:val="0"/>
          <w:numId w:val="2"/>
        </w:numPr>
        <w:jc w:val="start"/>
        <w:rPr>
          <w:lang w:val="nl-NL"/>
        </w:rPr>
      </w:pPr>
      <w:r>
        <w:rPr>
          <w:lang w:val="nl-NL"/>
        </w:rPr>
        <w:t>kas opnieuw geschilderd (voorheen mahonie-imitatie)</w:t>
      </w:r>
    </w:p>
    <w:p>
      <w:pPr>
        <w:pStyle w:val="T1"/>
        <w:numPr>
          <w:ilvl w:val="0"/>
          <w:numId w:val="2"/>
        </w:numPr>
        <w:jc w:val="start"/>
        <w:rPr>
          <w:lang w:val="nl-NL"/>
        </w:rPr>
      </w:pPr>
      <w:r>
        <w:rPr>
          <w:lang w:val="nl-NL"/>
        </w:rPr>
        <w:t>Fluit 4' $ Fluit 2'</w:t>
      </w:r>
    </w:p>
    <w:p>
      <w:pPr>
        <w:pStyle w:val="T1"/>
        <w:jc w:val="start"/>
        <w:rPr>
          <w:lang w:val="nl-NL"/>
        </w:rPr>
      </w:pPr>
      <w:r>
        <w:rPr>
          <w:lang w:val="nl-NL"/>
        </w:rPr>
      </w:r>
    </w:p>
    <w:p>
      <w:pPr>
        <w:pStyle w:val="T1"/>
        <w:jc w:val="start"/>
        <w:rPr>
          <w:lang w:val="nl-NL"/>
        </w:rPr>
      </w:pPr>
      <w:r>
        <w:rPr>
          <w:lang w:val="nl-NL"/>
        </w:rPr>
        <w:t>Orgelmakerij Steendam 2002</w:t>
      </w:r>
    </w:p>
    <w:p>
      <w:pPr>
        <w:pStyle w:val="T1"/>
        <w:numPr>
          <w:ilvl w:val="0"/>
          <w:numId w:val="4"/>
        </w:numPr>
        <w:jc w:val="start"/>
        <w:rPr>
          <w:lang w:val="nl-NL"/>
        </w:rPr>
      </w:pPr>
      <w:r>
        <w:rPr>
          <w:lang w:val="nl-NL"/>
        </w:rPr>
        <w:t>herstelwerkzaamheden</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217" w:type="dxa"/>
        <w:jc w:val="start"/>
        <w:tblInd w:w="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Prestand</w:t>
            </w:r>
          </w:p>
          <w:p>
            <w:pPr>
              <w:pStyle w:val="T4dispositie"/>
              <w:jc w:val="start"/>
              <w:rPr>
                <w:lang w:val="nl-NL"/>
              </w:rPr>
            </w:pPr>
            <w:r>
              <w:rPr>
                <w:lang w:val="nl-NL"/>
              </w:rPr>
              <w:t>Bourdon</w:t>
            </w:r>
          </w:p>
          <w:p>
            <w:pPr>
              <w:pStyle w:val="T4dispositie"/>
              <w:jc w:val="start"/>
              <w:rPr>
                <w:lang w:val="nl-NL"/>
              </w:rPr>
            </w:pPr>
            <w:r>
              <w:rPr>
                <w:lang w:val="nl-NL"/>
              </w:rPr>
              <w:t>Sallicionaal</w:t>
            </w:r>
          </w:p>
          <w:p>
            <w:pPr>
              <w:pStyle w:val="T4dispositie"/>
              <w:jc w:val="start"/>
              <w:rPr>
                <w:lang w:val="nl-NL"/>
              </w:rPr>
            </w:pPr>
            <w:r>
              <w:rPr>
                <w:lang w:val="nl-NL"/>
              </w:rPr>
              <w:t>Octaaf</w:t>
            </w:r>
          </w:p>
          <w:p>
            <w:pPr>
              <w:pStyle w:val="T4dispositie"/>
              <w:jc w:val="start"/>
              <w:rPr>
                <w:lang w:val="nl-NL"/>
              </w:rPr>
            </w:pPr>
            <w:r>
              <w:rPr>
                <w:lang w:val="nl-NL"/>
              </w:rPr>
              <w:t>Fluit</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r>
              <w:rPr>
                <w:lang w:val="en-GB"/>
              </w:rPr>
              <w:t>'</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nihil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C-a</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(ca 1900)</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Over de geschiedenis van dit orgel tot aan de plaatsing te Bargercompascuum in 1926 is vooralsnog niets bekend. De uiterlijke kenmerken van het orgel (front, orgelkas en klaviatuur) en de inwendige opbouw wijzen evident op het huis Van Oeckelen. Doordat juist in de jaren rond 1900 diverse tot dan toe karakteristieke elementen, bijvoorbeeld de 'zwart-witte' manuaalbakstukken en de ronde palmhouten afsluitingen van de windladen-voorslagen, niet meer consequent werden toegepast, is een preciezere datering van dit orgel zonder nadere archivalia niet mogelijk.</w:t>
      </w:r>
    </w:p>
    <w:p>
      <w:pPr>
        <w:pStyle w:val="T1"/>
        <w:jc w:val="start"/>
        <w:rPr>
          <w:lang w:val="nl-NL"/>
        </w:rPr>
      </w:pPr>
      <w:r>
        <w:rPr>
          <w:lang w:val="nl-NL"/>
        </w:rPr>
        <w:t>Het is een intrigerende vraag waarom in 1926 de bovengenoemde werkzaamheden zijn uitgevoerd. Waren de oorspronkelijke frontpijpen en de ornamentiek zodanig beschadigd dat ze niet te handhaven waren? Gold dat alleen voor de frontpijpen en vond men in Bargercompascuum de ornamentiek niet fraai dan wel te uitbundig? Of is het orgel afkomstig uit het een Duitse kerk net over de grens en waren, zoals overal in Duitsland, de tinnen frontpijpen in 1917 gevorderd? Deze laatste veronderstelling zou kunnen kloppen, zeker als men bedenkt dat de Altreformierte Classis Nordhorn deel uitmaakte van de Nederlandse Hervormde Synode en er daardoor diverse contacten waren over de landsgrenzen heen. Tenslotte is er nog de mogelijkheid dat na het overlijden van Antonius van Oeckelen in 1918 een nog altijd in de werkplaats aanwezig grotendeels voltooid orgel in 1926 (dan waarschijnlijk door de opvolger, Harmannus Thijs) met nieuwe frontpijpen en ornamentiek werd aangevuld tot een compleet instrument. Vanuit het gegeven dat de Van Oeckelens vaak voor eigen risico vrijwel complete orgels bouwden en die vervolgens te koop aanboden, is het niet onmogelijk dat een nog onverkocht orgel in de boedel was achtergebleven. Het feit dat het basement, de stijlen en de kappen van het orgelfront duidelijk uit ca 1900 stammen, pleit overigens weer tegen deze theorie; want de Van Oeckelens voltooiden de voor eigen risico gebouwde orgels doorgaans tot aan het front, en liet de koper de keuze uit verschillende frontontwerpen. Zonder nader archiefmateriaal zullen al deze vragen onbeantwoord moeten blijven.</w:t>
      </w:r>
    </w:p>
    <w:p>
      <w:pPr>
        <w:pStyle w:val="T1"/>
        <w:jc w:val="start"/>
        <w:rPr/>
      </w:pPr>
      <w:r>
        <w:rPr>
          <w:lang w:val="nl-NL"/>
        </w:rPr>
        <w:t>De Prestand 8' staat van C-d</w:t>
      </w:r>
      <w:r>
        <w:rPr>
          <w:vertAlign w:val="superscript"/>
          <w:lang w:val="nl-NL"/>
        </w:rPr>
        <w:t>1</w:t>
      </w:r>
      <w:r>
        <w:rPr>
          <w:lang w:val="nl-NL"/>
        </w:rPr>
        <w:t xml:space="preserve"> in het front. De klaviatuur, met de registerknoppen in een horizontale rij boven de muzieklessenaar, is geheel origineel. De bakstukken hebben hetzelfde model als die te Garsthuizen (1900) en Dorkwerd (1909). De registerknop voor de niet-originele tremulant zal oorspronkelijk verbonden zijn geweest met een windlosser. De loze registerknop (Nihil) en de vrije ruimte tussen front en windlade zijn indicaties dat de kas mogelijk oorspronkelijk voor een groter eenmanuaals orgel bedoeld was.</w:t>
      </w:r>
    </w:p>
    <w:p>
      <w:pPr>
        <w:pStyle w:val="T1"/>
        <w:jc w:val="start"/>
        <w:rPr>
          <w:lang w:val="nl-NL"/>
        </w:rPr>
      </w:pPr>
      <w:r>
        <w:rPr>
          <w:lang w:val="nl-NL"/>
        </w:rPr>
        <w:t>Het pijpwerk staat op één in hele tonen ingedeelde windlade, met de grootste pijpen in het midden.</w:t>
      </w:r>
    </w:p>
    <w:p>
      <w:pPr>
        <w:pStyle w:val="T1"/>
        <w:jc w:val="start"/>
        <w:rPr>
          <w:lang w:val="nl-NL"/>
        </w:rPr>
      </w:pPr>
      <w:r>
        <w:rPr>
          <w:lang w:val="nl-NL"/>
        </w:rPr>
        <w:t>De Bourdon 8' is van C-H van hout. De Sallicionaal 8' (in werkelijkheid een typische Viola di Gamba van Van Oeckelen) is van C-H gecombineerd met de Bourdon 8'. De Fluit 2' is in 1969 gecreëerd door opschuiving van de oorspronkelijke Fluit 4' (C-H gedekt, vanaf c open cilindrisch) en aanvulling met een nieuw (open cilindrisch) hoogste octaaf.</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2008-05-05T14:05:00Z</dcterms:created>
  <dc:creator>WS1</dc:creator>
  <dc:description/>
  <dc:language>en-US</dc:language>
  <cp:lastModifiedBy>NIvO</cp:lastModifiedBy>
  <cp:lastPrinted>2113-01-01T00:00:00Z</cp:lastPrinted>
  <dcterms:modified xsi:type="dcterms:W3CDTF">2008-06-24T15:03:00Z</dcterms:modified>
  <cp:revision>3</cp:revision>
  <dc:subject/>
  <dc:title>Wirdum / 1879</dc:title>
</cp:coreProperties>
</file>