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Nuis / ca 1900</w:t>
      </w:r>
    </w:p>
    <w:p>
      <w:pPr>
        <w:pStyle w:val="Heading2"/>
        <w:jc w:val="both"/>
        <w:rPr>
          <w:i w:val="false"/>
          <w:i w:val="false"/>
          <w:iCs/>
        </w:rPr>
      </w:pPr>
      <w:r>
        <w:rPr>
          <w:i w:val="false"/>
          <w:iCs/>
        </w:rPr>
        <w:t>Voormalige Hervormde Kerk</w:t>
      </w:r>
    </w:p>
    <w:p>
      <w:pPr>
        <w:pStyle w:val="T1"/>
        <w:jc w:val="start"/>
        <w:rPr>
          <w:i/>
          <w:i/>
          <w:iCs/>
          <w:lang w:val="nl-NL"/>
        </w:rPr>
      </w:pPr>
      <w:r>
        <w:rPr>
          <w:i/>
          <w:iCs/>
          <w:lang w:val="nl-NL"/>
        </w:rPr>
      </w:r>
    </w:p>
    <w:p>
      <w:pPr>
        <w:pStyle w:val="T1"/>
        <w:jc w:val="start"/>
        <w:rPr>
          <w:i/>
          <w:i/>
          <w:iCs/>
          <w:lang w:val="nl-NL"/>
        </w:rPr>
      </w:pPr>
      <w:r>
        <w:rPr>
          <w:i/>
          <w:iCs/>
          <w:lang w:val="nl-NL"/>
        </w:rPr>
        <w:t>Eenbeukige kerk uit de eerste helft van de 13e eeuw met rechtgesloten koor. Toren uit 1873. Inwendig een tongewelf uit 1906. Preekstoel en herenbanken uit de 18e eeuw.</w:t>
      </w:r>
    </w:p>
    <w:p>
      <w:pPr>
        <w:pStyle w:val="T1"/>
        <w:jc w:val="start"/>
        <w:rPr>
          <w:i/>
          <w:i/>
          <w:iCs/>
          <w:lang w:val="nl-NL"/>
        </w:rPr>
      </w:pPr>
      <w:r>
        <w:rPr>
          <w:i/>
          <w:iCs/>
          <w:lang w:val="nl-NL"/>
        </w:rPr>
      </w:r>
    </w:p>
    <w:p>
      <w:pPr>
        <w:pStyle w:val="T1"/>
        <w:jc w:val="start"/>
        <w:rPr>
          <w:lang w:val="nl-NL"/>
        </w:rPr>
      </w:pPr>
      <w:r>
        <w:rPr>
          <w:lang w:val="nl-NL"/>
        </w:rPr>
        <w:t>Kas: ca 1900</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pPr>
      <w:r>
        <w:rPr>
          <w:lang w:val="nl-NL"/>
        </w:rPr>
        <w:t xml:space="preserve">Een eenvoudig driedelig neogotisch front dat weinig aanknopingspunten biedt. </w:t>
      </w:r>
      <w:r>
        <w:rPr/>
        <w:t xml:space="preserve">De zijdelen zijn blokvormig, het bredere en hogere middendeel wordt bekroond door een ojiefboog. </w:t>
      </w:r>
      <w:r>
        <w:rPr>
          <w:lang w:val="nl-NL"/>
        </w:rPr>
        <w:t xml:space="preserve">De vlakke pijpvelden worden alle afgesloten door tootbogen. </w:t>
      </w:r>
      <w:r>
        <w:rPr/>
        <w:t>Op de balustrade aan weerszijden van de orgelkas gegolfd gebogen opzetstukken, opengewerkt met een kwartronde tootboog. In de balustrade verder eenvoudige rechthoekige panelen.</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rPr/>
      </w:pPr>
      <w:r>
        <w:rPr>
          <w:i/>
          <w:lang w:val="nl-NL"/>
        </w:rPr>
        <w:t>Het Groninger Orgelbezit van Adorp tot Zijldijk. 2 Westerkwartier</w:t>
      </w:r>
      <w:r>
        <w:rPr>
          <w:lang w:val="nl-NL"/>
        </w:rPr>
        <w:t>. Groningen, 1995, 138-139.</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Oosterhof/Penning.</w:t>
      </w:r>
    </w:p>
    <w:p>
      <w:pPr>
        <w:pStyle w:val="T3Lit"/>
        <w:rPr>
          <w:rFonts w:eastAsia="Arial Unicode MS"/>
          <w:b/>
          <w:b/>
          <w:bCs/>
          <w:lang w:val="en-GB"/>
        </w:rPr>
      </w:pPr>
      <w:r>
        <w:rPr>
          <w:lang w:val="en-GB"/>
        </w:rPr>
        <w:t>Archief Victor Timmer.</w:t>
      </w:r>
    </w:p>
    <w:p>
      <w:pPr>
        <w:pStyle w:val="T3Lit"/>
        <w:rPr/>
      </w:pPr>
      <w:r>
        <w:rPr/>
        <w:t>SKKN, dossier Nuis NHK, inventarisrapport 1989.</w:t>
      </w:r>
    </w:p>
    <w:p>
      <w:pPr>
        <w:pStyle w:val="T3Lit"/>
        <w:rPr/>
      </w:pPr>
      <w:r>
        <w:rPr/>
      </w:r>
    </w:p>
    <w:p>
      <w:pPr>
        <w:pStyle w:val="T3Lit"/>
        <w:rPr>
          <w:lang w:val="nl-NL"/>
        </w:rPr>
      </w:pPr>
      <w:r>
        <w:rPr>
          <w:lang w:val="nl-NL"/>
        </w:rPr>
        <w:t>Monumentnummer 28294</w:t>
      </w:r>
    </w:p>
    <w:p>
      <w:pPr>
        <w:pStyle w:val="T3Lit"/>
        <w:rPr>
          <w:lang w:val="nl-NL"/>
        </w:rPr>
      </w:pPr>
      <w:r>
        <w:rPr>
          <w:lang w:val="nl-NL"/>
        </w:rPr>
        <w:t>Orgelnummer 1104 of 2014</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1900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Gebr Adema (?) 1936</w:t>
      </w:r>
    </w:p>
    <w:p>
      <w:pPr>
        <w:pStyle w:val="T1"/>
        <w:numPr>
          <w:ilvl w:val="0"/>
          <w:numId w:val="3"/>
        </w:numPr>
        <w:jc w:val="start"/>
        <w:rPr>
          <w:lang w:val="nl-NL"/>
        </w:rPr>
      </w:pPr>
      <w:r>
        <w:rPr>
          <w:lang w:val="nl-NL"/>
        </w:rPr>
        <w:t>orgel geplaatst in de Nederlandsch Hervormde Evangelisatie ‘Pniël’ te Huizum (Leeuwarden)</w:t>
      </w:r>
    </w:p>
    <w:p>
      <w:pPr>
        <w:pStyle w:val="T1"/>
        <w:jc w:val="start"/>
        <w:rPr>
          <w:lang w:val="nl-NL"/>
        </w:rPr>
      </w:pPr>
      <w:r>
        <w:rPr>
          <w:lang w:val="nl-NL"/>
        </w:rPr>
      </w:r>
    </w:p>
    <w:p>
      <w:pPr>
        <w:pStyle w:val="T1"/>
        <w:jc w:val="start"/>
        <w:rPr>
          <w:lang w:val="nl-NL"/>
        </w:rPr>
      </w:pPr>
      <w:r>
        <w:rPr>
          <w:lang w:val="nl-NL"/>
        </w:rPr>
        <w:t>J. v.d. Bliek 1953</w:t>
      </w:r>
    </w:p>
    <w:p>
      <w:pPr>
        <w:pStyle w:val="T1"/>
        <w:numPr>
          <w:ilvl w:val="0"/>
          <w:numId w:val="3"/>
        </w:numPr>
        <w:jc w:val="start"/>
        <w:rPr>
          <w:lang w:val="nl-NL"/>
        </w:rPr>
      </w:pPr>
      <w:r>
        <w:rPr>
          <w:lang w:val="nl-NL"/>
        </w:rPr>
        <w:t>binnenwerk uit Huizum en kas van onbekende herkomst samengevoegd tot ‘nieuw’ orgel voor Hervormde Kerk te Nuis</w:t>
      </w:r>
    </w:p>
    <w:p>
      <w:pPr>
        <w:pStyle w:val="T1"/>
        <w:numPr>
          <w:ilvl w:val="0"/>
          <w:numId w:val="3"/>
        </w:numPr>
        <w:jc w:val="start"/>
        <w:rPr>
          <w:lang w:val="nl-NL"/>
        </w:rPr>
      </w:pPr>
      <w:r>
        <w:rPr>
          <w:lang w:val="nl-NL"/>
        </w:rPr>
        <w:t>klaviatuur verplaatst van voorzijde naar linkerzijde</w:t>
      </w:r>
    </w:p>
    <w:p>
      <w:pPr>
        <w:pStyle w:val="T1"/>
        <w:numPr>
          <w:ilvl w:val="0"/>
          <w:numId w:val="3"/>
        </w:numPr>
        <w:jc w:val="start"/>
        <w:rPr>
          <w:lang w:val="nl-NL"/>
        </w:rPr>
      </w:pPr>
      <w:r>
        <w:rPr>
          <w:lang w:val="nl-NL"/>
        </w:rPr>
        <w:t>gebruikte magazijnbalg geplaatst</w:t>
      </w:r>
    </w:p>
    <w:p>
      <w:pPr>
        <w:pStyle w:val="T1"/>
        <w:numPr>
          <w:ilvl w:val="0"/>
          <w:numId w:val="3"/>
        </w:numPr>
        <w:jc w:val="start"/>
        <w:rPr>
          <w:lang w:val="nl-NL"/>
        </w:rPr>
      </w:pPr>
      <w:r>
        <w:rPr>
          <w:lang w:val="nl-NL"/>
        </w:rPr>
        <w:t>pedaalklavier toegevoegd</w:t>
      </w:r>
    </w:p>
    <w:p>
      <w:pPr>
        <w:pStyle w:val="T1"/>
        <w:jc w:val="start"/>
        <w:rPr>
          <w:lang w:val="nl-NL"/>
        </w:rPr>
      </w:pPr>
      <w:r>
        <w:rPr>
          <w:lang w:val="nl-NL"/>
        </w:rPr>
      </w:r>
    </w:p>
    <w:p>
      <w:pPr>
        <w:pStyle w:val="T1"/>
        <w:jc w:val="start"/>
        <w:rPr>
          <w:lang w:val="nl-NL"/>
        </w:rPr>
      </w:pPr>
      <w:r>
        <w:rPr>
          <w:lang w:val="nl-NL"/>
        </w:rPr>
        <w:t>S. Haarsma 1984</w:t>
      </w:r>
    </w:p>
    <w:p>
      <w:pPr>
        <w:pStyle w:val="T1"/>
        <w:numPr>
          <w:ilvl w:val="0"/>
          <w:numId w:val="2"/>
        </w:numPr>
        <w:jc w:val="start"/>
        <w:rPr>
          <w:lang w:val="nl-NL"/>
        </w:rPr>
      </w:pPr>
      <w:r>
        <w:rPr>
          <w:lang w:val="nl-NL"/>
        </w:rPr>
        <w:t>orgel hersteld</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418" w:type="dxa"/>
        <w:jc w:val="start"/>
        <w:tblInd w:w="-70" w:type="dxa"/>
        <w:tblLayout w:type="fixed"/>
        <w:tblCellMar>
          <w:top w:w="0" w:type="dxa"/>
          <w:start w:w="70" w:type="dxa"/>
          <w:bottom w:w="0" w:type="dxa"/>
          <w:end w:w="70" w:type="dxa"/>
        </w:tblCellMar>
      </w:tblPr>
      <w:tblGrid>
        <w:gridCol w:w="2050"/>
        <w:gridCol w:w="368"/>
      </w:tblGrid>
      <w:tr>
        <w:trPr/>
        <w:tc>
          <w:tcPr>
            <w:tcW w:w="2050"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Holfluit</w:t>
            </w:r>
          </w:p>
          <w:p>
            <w:pPr>
              <w:pStyle w:val="T4dispositie"/>
              <w:rPr>
                <w:lang w:val="en-GB"/>
              </w:rPr>
            </w:pPr>
            <w:r>
              <w:rPr>
                <w:lang w:val="en-GB"/>
              </w:rPr>
              <w:t>Salicionaal</w:t>
            </w:r>
          </w:p>
          <w:p>
            <w:pPr>
              <w:pStyle w:val="T4dispositie"/>
              <w:rPr>
                <w:lang w:val="en-GB"/>
              </w:rPr>
            </w:pPr>
            <w:r>
              <w:rPr>
                <w:lang w:val="en-GB"/>
              </w:rPr>
              <w:t>Fluit</w:t>
            </w:r>
          </w:p>
          <w:p>
            <w:pPr>
              <w:pStyle w:val="T4dispositie"/>
              <w:rPr>
                <w:lang w:val="en-GB"/>
              </w:rPr>
            </w:pPr>
            <w:r>
              <w:rPr>
                <w:lang w:val="en-GB"/>
              </w:rPr>
              <w:t>Quint</w:t>
            </w:r>
          </w:p>
          <w:p>
            <w:pPr>
              <w:pStyle w:val="T4dispositie"/>
              <w:rPr>
                <w:lang w:val="en-GB"/>
              </w:rPr>
            </w:pPr>
            <w:r>
              <w:rPr>
                <w:lang w:val="en-GB"/>
              </w:rPr>
              <w:t>Octaaf</w:t>
            </w:r>
          </w:p>
        </w:tc>
        <w:tc>
          <w:tcPr>
            <w:tcW w:w="368"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16'</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3'</w:t>
            </w:r>
          </w:p>
          <w:p>
            <w:pPr>
              <w:pStyle w:val="T4dispositie"/>
              <w:rPr>
                <w:lang w:val="en-GB"/>
              </w:rPr>
            </w:pPr>
            <w:r>
              <w:rPr>
                <w:lang w:val="en-GB"/>
              </w:rPr>
              <w:t>2'</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lang w:val="nl-NL"/>
        </w:rPr>
      </w:pPr>
      <w:r>
        <w:rPr>
          <w:lang w:val="nl-NL"/>
        </w:rPr>
        <w:t>C-h</w:t>
      </w:r>
    </w:p>
    <w:p>
      <w:pPr>
        <w:pStyle w:val="T1"/>
        <w:rPr>
          <w:lang w:val="nl-NL"/>
        </w:rPr>
      </w:pPr>
      <w:r>
        <w:rPr>
          <w:lang w:val="nl-NL"/>
        </w:rPr>
      </w:r>
    </w:p>
    <w:p>
      <w:pPr>
        <w:pStyle w:val="T1"/>
        <w:rPr>
          <w:lang w:val="nl-NL"/>
        </w:rPr>
      </w:pPr>
      <w:r>
        <w:rPr>
          <w:lang w:val="nl-NL"/>
        </w:rPr>
        <w:t>Windvoorziening</w:t>
      </w:r>
    </w:p>
    <w:p>
      <w:pPr>
        <w:pStyle w:val="T1"/>
        <w:rPr>
          <w:lang w:val="nl-NL"/>
        </w:rPr>
      </w:pPr>
      <w:r>
        <w:rPr>
          <w:lang w:val="nl-NL"/>
        </w:rPr>
        <w:t>magazijnbalg met twee schepbalgen en trede</w:t>
      </w:r>
    </w:p>
    <w:p>
      <w:pPr>
        <w:pStyle w:val="T1"/>
        <w:rPr>
          <w:lang w:val="nl-NL"/>
        </w:rPr>
      </w:pPr>
      <w:r>
        <w:rPr>
          <w:lang w:val="nl-NL"/>
        </w:rPr>
        <w:t>Winddruk</w:t>
      </w:r>
    </w:p>
    <w:p>
      <w:pPr>
        <w:pStyle w:val="T1"/>
        <w:rPr>
          <w:lang w:val="nl-NL"/>
        </w:rPr>
      </w:pPr>
      <w:r>
        <w:rPr>
          <w:lang w:val="nl-NL"/>
        </w:rPr>
        <w:t>74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magazijnbalg (in de onderkas) heeft een inspringende vouw. Op het bovenblad van de magazijnbalg bevindt zich een balgventiel.</w:t>
      </w:r>
    </w:p>
    <w:p>
      <w:pPr>
        <w:pStyle w:val="T1"/>
        <w:jc w:val="start"/>
        <w:rPr>
          <w:lang w:val="nl-NL"/>
        </w:rPr>
      </w:pPr>
      <w:r>
        <w:rPr>
          <w:lang w:val="nl-NL"/>
        </w:rPr>
        <w:t>De klaviatuur heeft rechthoekige geverfde bakstukken en een rechthoekig klavierdeksel. De herkomst van het 19e-eeuwse pedaalklavier is onbekend.</w:t>
      </w:r>
    </w:p>
    <w:p>
      <w:pPr>
        <w:pStyle w:val="T1"/>
        <w:jc w:val="start"/>
        <w:rPr>
          <w:lang w:val="nl-NL"/>
        </w:rPr>
      </w:pPr>
      <w:r>
        <w:rPr>
          <w:lang w:val="nl-NL"/>
        </w:rPr>
        <w:t>De kern van het instrument (windlade en groot deel van het pijpwerk) is veel ouder dan de kas; het oudste pijpwerk dateert gezien de labiumvormen en het loodgehalte uit de 18e en 19e eeuw. De windlade heeft drie inliggende voorslagen die elk zijn vastgezet met twee metalen strips. Voor de laatste plaats op de lade is wel een registertrekker met sleep aanwezig, maar de stok is niet geboord. Het pijpwerk staat in hele tonen vanuit het midden naar weerszijden aflopend opgesteld.</w:t>
      </w:r>
    </w:p>
    <w:p>
      <w:pPr>
        <w:pStyle w:val="T1"/>
        <w:jc w:val="start"/>
        <w:rPr/>
      </w:pPr>
      <w:r>
        <w:rPr>
          <w:lang w:val="nl-NL"/>
        </w:rPr>
        <w:t xml:space="preserve">De meeste pijpen van Fluit, Quint, Holfluit en Bourdon hebben een sterk gelijkende factuur. </w:t>
      </w:r>
      <w:r>
        <w:rPr/>
        <w:t xml:space="preserve">Dit materiaal zou uit de 18e eeuw kunnen dateren maar gezien de aanwezige tooninscripties is er wel met het pijpwerk geschoven. </w:t>
      </w:r>
      <w:r>
        <w:rPr>
          <w:lang w:val="nl-NL"/>
        </w:rPr>
        <w:t>De Bourdon D 16' is geheel van metaal (gedekt). De</w:t>
      </w:r>
      <w:r>
        <w:rPr>
          <w:iCs/>
          <w:lang w:val="nl-NL"/>
        </w:rPr>
        <w:t xml:space="preserve"> Salicionaal 8' </w:t>
      </w:r>
      <w:r>
        <w:rPr>
          <w:lang w:val="nl-NL"/>
        </w:rPr>
        <w:t xml:space="preserve">is geplaatst in 1953 en is grotendeel van zink; alleen de 15 kleinste pijpjes zijn van metaal. </w:t>
      </w:r>
      <w:r>
        <w:rPr/>
        <w:t xml:space="preserve">C-Dis staan direct achter het middelste frontveld, E-c staan in het front (middenveld); de overige pijpen staan op de lade. </w:t>
      </w:r>
      <w:r>
        <w:rPr>
          <w:lang w:val="nl-NL"/>
        </w:rPr>
        <w:t xml:space="preserve">C-H van de </w:t>
      </w:r>
      <w:r>
        <w:rPr>
          <w:iCs/>
          <w:lang w:val="nl-NL"/>
        </w:rPr>
        <w:t xml:space="preserve">Holfluit 8' zijn van geverfd grenen, het vervolg is van metaal; daarvan zijn c en cis fabriekspijpen. </w:t>
      </w:r>
      <w:r>
        <w:rPr>
          <w:iCs/>
        </w:rPr>
        <w:t xml:space="preserve">Verder is het register oud met op d de inscriptie </w:t>
      </w:r>
      <w:r>
        <w:rPr>
          <w:i/>
          <w:iCs/>
        </w:rPr>
        <w:t>c Holfluit</w:t>
      </w:r>
      <w:r>
        <w:rPr/>
        <w:t xml:space="preserve">. </w:t>
      </w:r>
      <w:r>
        <w:rPr>
          <w:lang w:val="nl-NL"/>
        </w:rPr>
        <w:t xml:space="preserve">De Fluit 4' is geheel van metaal (gedekt) met zijbaarden. C-H van de Quint 3' zijn uitgevoerd als roerfluit, het vervolg is open, cilindrisch met stemkrullen. C en Cis van de Octaaf 2' zijn fabriekspijpen met geperste labia. </w:t>
      </w:r>
      <w:r>
        <w:rPr/>
        <w:t>Het vervolg bestaat uit oud pijpwerk dat wat betreft factuur iets ouder lijkt dan dat van de overige oude registers.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2008-05-05T14:05:00Z</dcterms:created>
  <dc:creator>WS1</dc:creator>
  <dc:description/>
  <dc:language>en-US</dc:language>
  <cp:lastModifiedBy>NIvO</cp:lastModifiedBy>
  <cp:lastPrinted>2002-01-08T11:24:00Z</cp:lastPrinted>
  <dcterms:modified xsi:type="dcterms:W3CDTF">2008-05-05T14:05:00Z</dcterms:modified>
  <cp:revision>2</cp:revision>
  <dc:subject/>
  <dc:title>Vrouwenpolder/ca 1845</dc:title>
</cp:coreProperties>
</file>