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Oostrum (Eastrum FR) / ca 1900</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rPr>
          <w:rFonts w:ascii="Times New Roman" w:hAnsi="Times New Roman" w:cs="Times New Roman"/>
          <w:i/>
          <w:i/>
        </w:rPr>
      </w:pPr>
      <w:r>
        <w:rPr>
          <w:rFonts w:cs="Times New Roman" w:ascii="Times New Roman" w:hAnsi="Times New Roman"/>
          <w:i/>
        </w:rPr>
        <w:t>Op een deels afgegraven terp gelegen eenbeukige kerk met driezijdige koorsluiting en zadeldaktoren. Toren uit de 13e eeuw, kerkgebouw uit omstreeks 1500. De kap van de kerk is aan de zuidzijde voorzien van onder- en bovenpannen.</w:t>
      </w:r>
    </w:p>
    <w:p>
      <w:pPr>
        <w:pStyle w:val="Normal"/>
        <w:rPr>
          <w:rFonts w:ascii="Times New Roman" w:hAnsi="Times New Roman" w:cs="Times New Roman"/>
          <w:i/>
          <w:i/>
        </w:rPr>
      </w:pPr>
      <w:r>
        <w:rPr>
          <w:rFonts w:cs="Times New Roman" w:ascii="Times New Roman" w:hAnsi="Times New Roman"/>
          <w:i/>
        </w:rPr>
        <w:t>Kansel uit 1768, voorts enkele 17e-eeuwse rouwborden en enkele mogelijk 16e-eeuwse muurschilderingen.</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ca 1900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al zijn eenvoud is dit zonder blinderingen en geheel vlak uitgevoerde front aangenaam om naar te kijken. Dat komt in hoofdzaak door de goed gekozen verhoudingen, de forse maat van de frontstijlen, de verschillen in kaphoogte tussen middenveld en zijvelden, en de verzorgd gemaakte onderkas die bij de frontindeling aansluit.</w:t>
      </w:r>
    </w:p>
    <w:p>
      <w:pPr>
        <w:pStyle w:val="T2Kunst"/>
        <w:jc w:val="start"/>
        <w:rPr>
          <w:lang w:val="nl-NL"/>
        </w:rPr>
      </w:pPr>
      <w:r>
        <w:rPr>
          <w:lang w:val="nl-NL"/>
        </w:rPr>
        <w:t>Hoewel men kan twisten over de keuze van de ontwerper of maker om alle drie de kappen met een gestileerde lier te bekronen, blijkt ook hier weer de zorg die er aan is besteed door het subtiele verschil in grootte tussen de middenlier en die op de zijvelden. De lieren onderscheiden zich in kleur van het kastwerk en worden in de kleur van het kastwerk ondersteund door vormen die in de verte aan gebogen frontonaanzetten doen denken. Daardoor zou men het meubel toch nog als een wel vage en late echo van de neorenaissance kunnen beschouwen.</w:t>
      </w:r>
    </w:p>
    <w:p>
      <w:pPr>
        <w:pStyle w:val="T1"/>
        <w:jc w:val="start"/>
        <w:rPr>
          <w:lang w:val="nl-NL"/>
        </w:rPr>
      </w:pPr>
      <w:r>
        <w:rPr>
          <w:lang w:val="nl-NL"/>
        </w:rPr>
      </w:r>
    </w:p>
    <w:p>
      <w:pPr>
        <w:pStyle w:val="T3Lit"/>
        <w:jc w:val="start"/>
        <w:rPr>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202.</w:t>
      </w:r>
    </w:p>
    <w:p>
      <w:pPr>
        <w:pStyle w:val="T3Lit"/>
        <w:rPr/>
      </w:pPr>
      <w:r>
        <w:rPr>
          <w:i/>
          <w:iCs/>
          <w:lang w:val="nl-NL"/>
        </w:rPr>
        <w:t>Het Orgel</w:t>
      </w:r>
      <w:r>
        <w:rPr>
          <w:lang w:val="nl-NL"/>
        </w:rPr>
        <w:t>, 70/1 (1974), 27.</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Orgelmakers Gebr. Van Vulpen.</w:t>
      </w:r>
    </w:p>
    <w:p>
      <w:pPr>
        <w:pStyle w:val="T3Lit"/>
        <w:rPr>
          <w:lang w:val="nl-NL"/>
        </w:rPr>
      </w:pPr>
      <w:r>
        <w:rPr>
          <w:lang w:val="nl-NL"/>
        </w:rPr>
      </w:r>
    </w:p>
    <w:p>
      <w:pPr>
        <w:pStyle w:val="T3Lit"/>
        <w:rPr>
          <w:lang w:val="nl-NL"/>
        </w:rPr>
      </w:pPr>
      <w:r>
        <w:rPr>
          <w:lang w:val="nl-NL"/>
        </w:rPr>
        <w:t>Monumentnummer 31590</w:t>
      </w:r>
    </w:p>
    <w:p>
      <w:pPr>
        <w:pStyle w:val="T3Lit"/>
        <w:rPr>
          <w:lang w:val="nl-NL"/>
        </w:rPr>
      </w:pPr>
      <w:r>
        <w:rPr>
          <w:lang w:val="nl-NL"/>
        </w:rPr>
        <w:t>Orgelnummer 1160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1900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Heiligerlee, Hervormde Kerk (Gustaaf Adolfkapel)</w:t>
      </w:r>
    </w:p>
    <w:p>
      <w:pPr>
        <w:pStyle w:val="T1"/>
        <w:jc w:val="start"/>
        <w:rPr>
          <w:lang w:val="nl-NL"/>
        </w:rPr>
      </w:pPr>
      <w:r>
        <w:rPr>
          <w:lang w:val="nl-NL"/>
        </w:rPr>
      </w:r>
    </w:p>
    <w:p>
      <w:pPr>
        <w:pStyle w:val="T1"/>
        <w:jc w:val="start"/>
        <w:rPr>
          <w:lang w:val="nl-NL"/>
        </w:rPr>
      </w:pPr>
      <w:r>
        <w:rPr>
          <w:lang w:val="nl-NL"/>
        </w:rPr>
        <w:t>fa Faber 1963</w:t>
      </w:r>
    </w:p>
    <w:p>
      <w:pPr>
        <w:pStyle w:val="T1"/>
        <w:numPr>
          <w:ilvl w:val="0"/>
          <w:numId w:val="2"/>
        </w:numPr>
        <w:jc w:val="start"/>
        <w:rPr>
          <w:lang w:val="nl-NL"/>
        </w:rPr>
      </w:pPr>
      <w:r>
        <w:rPr>
          <w:lang w:val="nl-NL"/>
        </w:rPr>
        <w:t>orgel geplaatst te Oostrum, Hervormde Kerk</w:t>
      </w:r>
    </w:p>
    <w:p>
      <w:pPr>
        <w:pStyle w:val="T1"/>
        <w:jc w:val="start"/>
        <w:rPr>
          <w:lang w:val="nl-NL"/>
        </w:rPr>
      </w:pPr>
      <w:r>
        <w:rPr>
          <w:lang w:val="nl-NL"/>
        </w:rPr>
      </w:r>
    </w:p>
    <w:p>
      <w:pPr>
        <w:pStyle w:val="T1"/>
        <w:jc w:val="start"/>
        <w:rPr>
          <w:lang w:val="nl-NL"/>
        </w:rPr>
      </w:pPr>
      <w:r>
        <w:rPr>
          <w:lang w:val="nl-NL"/>
        </w:rPr>
        <w:t>Orgelmakers Gebr. Van Vulpen 1973</w:t>
      </w:r>
    </w:p>
    <w:p>
      <w:pPr>
        <w:pStyle w:val="T1"/>
        <w:numPr>
          <w:ilvl w:val="0"/>
          <w:numId w:val="2"/>
        </w:numPr>
        <w:jc w:val="start"/>
        <w:rPr>
          <w:lang w:val="nl-NL"/>
        </w:rPr>
      </w:pPr>
      <w:r>
        <w:rPr>
          <w:lang w:val="nl-NL"/>
        </w:rPr>
        <w:t>orgel gedemonteerd in verband met aanvang kerkrestauratie</w:t>
      </w:r>
    </w:p>
    <w:p>
      <w:pPr>
        <w:pStyle w:val="T1"/>
        <w:numPr>
          <w:ilvl w:val="0"/>
          <w:numId w:val="2"/>
        </w:numPr>
        <w:jc w:val="start"/>
        <w:rPr>
          <w:lang w:val="nl-NL"/>
        </w:rPr>
      </w:pPr>
      <w:r>
        <w:rPr>
          <w:lang w:val="nl-NL"/>
        </w:rPr>
        <w:t>in kader kerkrestauratie dak orgelkas gecompleteerd, schilderwerk kas bijgewerkt</w:t>
      </w:r>
    </w:p>
    <w:p>
      <w:pPr>
        <w:pStyle w:val="T1"/>
        <w:jc w:val="start"/>
        <w:rPr>
          <w:lang w:val="nl-NL"/>
        </w:rPr>
      </w:pPr>
      <w:r>
        <w:rPr>
          <w:lang w:val="nl-NL"/>
        </w:rPr>
      </w:r>
    </w:p>
    <w:p>
      <w:pPr>
        <w:pStyle w:val="T1"/>
        <w:jc w:val="start"/>
        <w:rPr>
          <w:lang w:val="nl-NL"/>
        </w:rPr>
      </w:pPr>
      <w:r>
        <w:rPr>
          <w:lang w:val="nl-NL"/>
        </w:rPr>
        <w:t>Orgelmakers Gebr. Van Vulpen 1979</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nieuwe frontpijpen geplaatst</w:t>
      </w:r>
    </w:p>
    <w:p>
      <w:pPr>
        <w:pStyle w:val="T1"/>
        <w:numPr>
          <w:ilvl w:val="0"/>
          <w:numId w:val="3"/>
        </w:numPr>
        <w:jc w:val="start"/>
        <w:rPr>
          <w:lang w:val="nl-NL"/>
        </w:rPr>
      </w:pPr>
      <w:r>
        <w:rPr>
          <w:lang w:val="nl-NL"/>
        </w:rPr>
        <w:t>latere toegevoegde registers verwijderd</w:t>
      </w:r>
    </w:p>
    <w:p>
      <w:pPr>
        <w:pStyle w:val="T1"/>
        <w:numPr>
          <w:ilvl w:val="0"/>
          <w:numId w:val="3"/>
        </w:numPr>
        <w:jc w:val="start"/>
        <w:rPr>
          <w:lang w:val="nl-NL"/>
        </w:rPr>
      </w:pPr>
      <w:r>
        <w:rPr>
          <w:lang w:val="nl-NL"/>
        </w:rPr>
        <w:t>nieuw handklavier, nieuwe registerknoppen met opschriften</w:t>
      </w:r>
    </w:p>
    <w:p>
      <w:pPr>
        <w:pStyle w:val="T1"/>
        <w:numPr>
          <w:ilvl w:val="0"/>
          <w:numId w:val="3"/>
        </w:numPr>
        <w:jc w:val="start"/>
        <w:rPr>
          <w:lang w:val="nl-NL"/>
        </w:rPr>
      </w:pPr>
      <w:r>
        <w:rPr>
          <w:lang w:val="nl-NL"/>
        </w:rPr>
        <w:t>pedaalklavier hersteld, pedaalwalsbord vernieuwd</w:t>
      </w:r>
    </w:p>
    <w:p>
      <w:pPr>
        <w:pStyle w:val="T1"/>
        <w:numPr>
          <w:ilvl w:val="0"/>
          <w:numId w:val="3"/>
        </w:numPr>
        <w:jc w:val="start"/>
        <w:rPr>
          <w:lang w:val="nl-NL"/>
        </w:rPr>
      </w:pPr>
      <w:r>
        <w:rPr>
          <w:lang w:val="nl-NL"/>
        </w:rPr>
        <w:t>magazijnbalg en schepbalgen opnieuw beleerd</w:t>
      </w:r>
    </w:p>
    <w:p>
      <w:pPr>
        <w:pStyle w:val="T1"/>
        <w:numPr>
          <w:ilvl w:val="0"/>
          <w:numId w:val="3"/>
        </w:numPr>
        <w:jc w:val="start"/>
        <w:rPr>
          <w:lang w:val="nl-NL"/>
        </w:rPr>
      </w:pPr>
      <w:r>
        <w:rPr>
          <w:lang w:val="nl-NL"/>
        </w:rPr>
        <w:t>kanalen in eiken vernieuwd; ventiel verwijderd</w:t>
      </w:r>
    </w:p>
    <w:p>
      <w:pPr>
        <w:pStyle w:val="T1"/>
        <w:numPr>
          <w:ilvl w:val="0"/>
          <w:numId w:val="3"/>
        </w:numPr>
        <w:jc w:val="start"/>
        <w:rPr>
          <w:lang w:val="nl-NL"/>
        </w:rPr>
      </w:pPr>
      <w:r>
        <w:rPr>
          <w:lang w:val="nl-NL"/>
        </w:rPr>
        <w:t>windlade hersteld, enkele slepen vernieuwd, ventielen met leerstaarten vastgelijmd</w:t>
      </w:r>
    </w:p>
    <w:p>
      <w:pPr>
        <w:pStyle w:val="T1"/>
        <w:numPr>
          <w:ilvl w:val="0"/>
          <w:numId w:val="3"/>
        </w:numPr>
        <w:jc w:val="start"/>
        <w:rPr>
          <w:lang w:val="nl-NL"/>
        </w:rPr>
      </w:pPr>
      <w:r>
        <w:rPr>
          <w:lang w:val="nl-NL"/>
        </w:rPr>
        <w:t>pijpwerk hersteld, groot octaaf Holpijp 8' vernieuwd, latere verschuivingen ongedaan 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40" w:type="dxa"/>
        <w:jc w:val="start"/>
        <w:tblInd w:w="-70" w:type="dxa"/>
        <w:tblLayout w:type="fixed"/>
        <w:tblCellMar>
          <w:top w:w="0" w:type="dxa"/>
          <w:start w:w="70" w:type="dxa"/>
          <w:bottom w:w="0" w:type="dxa"/>
          <w:end w:w="70" w:type="dxa"/>
        </w:tblCellMar>
      </w:tblPr>
      <w:tblGrid>
        <w:gridCol w:w="1327"/>
        <w:gridCol w:w="713"/>
      </w:tblGrid>
      <w:tr>
        <w:trPr/>
        <w:tc>
          <w:tcPr>
            <w:tcW w:w="1327"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 D</w:t>
            </w:r>
          </w:p>
          <w:p>
            <w:pPr>
              <w:pStyle w:val="T4dispositie"/>
              <w:jc w:val="start"/>
              <w:rPr>
                <w:lang w:val="nl-NL"/>
              </w:rPr>
            </w:pPr>
            <w:r>
              <w:rPr>
                <w:lang w:val="nl-NL"/>
              </w:rPr>
              <w:t>Holpijp B/D</w:t>
            </w:r>
          </w:p>
          <w:p>
            <w:pPr>
              <w:pStyle w:val="T4dispositie"/>
              <w:jc w:val="start"/>
              <w:rPr>
                <w:lang w:val="nl-NL"/>
              </w:rPr>
            </w:pPr>
            <w:r>
              <w:rPr>
                <w:lang w:val="nl-NL"/>
              </w:rPr>
              <w:t xml:space="preserve">Octaaf </w:t>
            </w:r>
          </w:p>
          <w:p>
            <w:pPr>
              <w:pStyle w:val="T4dispositie"/>
              <w:jc w:val="start"/>
              <w:rPr>
                <w:lang w:val="nl-NL"/>
              </w:rPr>
            </w:pPr>
            <w:r>
              <w:rPr>
                <w:lang w:val="nl-NL"/>
              </w:rPr>
              <w:t>Fluit B/D</w:t>
            </w:r>
          </w:p>
          <w:p>
            <w:pPr>
              <w:pStyle w:val="T4dispositie"/>
              <w:jc w:val="start"/>
              <w:rPr>
                <w:lang w:val="nl-NL"/>
              </w:rPr>
            </w:pPr>
            <w:r>
              <w:rPr>
                <w:lang w:val="nl-NL"/>
              </w:rPr>
              <w:t>Quint B/D</w:t>
            </w:r>
          </w:p>
          <w:p>
            <w:pPr>
              <w:pStyle w:val="T4dispositie"/>
              <w:jc w:val="start"/>
              <w:rPr>
                <w:lang w:val="nl-NL"/>
              </w:rPr>
            </w:pPr>
            <w:r>
              <w:rPr>
                <w:lang w:val="nl-NL"/>
              </w:rPr>
              <w:t>Octaaf B/D</w:t>
            </w:r>
          </w:p>
        </w:tc>
        <w:tc>
          <w:tcPr>
            <w:tcW w:w="71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r>
    </w:tbl>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Werckmeister I</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C-h</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w:t>
      </w:r>
    </w:p>
    <w:p>
      <w:pPr>
        <w:pStyle w:val="T1"/>
        <w:jc w:val="start"/>
        <w:rPr>
          <w:lang w:val="nl-NL"/>
        </w:rPr>
      </w:pPr>
      <w:r>
        <w:rPr>
          <w:lang w:val="nl-NL"/>
        </w:rPr>
        <w:t>Winddruk</w:t>
      </w:r>
    </w:p>
    <w:p>
      <w:pPr>
        <w:pStyle w:val="T1"/>
        <w:jc w:val="start"/>
        <w:rPr>
          <w:lang w:val="nl-NL"/>
        </w:rPr>
      </w:pPr>
      <w:r>
        <w:rPr>
          <w:lang w:val="nl-NL"/>
        </w:rPr>
        <w:t>58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orgel is gebruik gemaakt van een oude windlade met oud pijpwerk. Op een kegellade, geplaatst direct achter het front en gevoed vanuit de cancellen van de oude lade, werden twee registers bijgeplaatst: Prestant 8' (C-H gecombineerd met Holpijp, vanaf c deels in het front) en hieruit als unit afgeleid een Prestant 4'. Deze gehele uitbreiding is bij de restauratie van 1979 verwijderd. De frontpijpen waren van zink. Nieuw geleverd bij de bouw omstreeks 1900 waren bovendien: het handklavier, de registerknoppen, de vuren windkanalen, en de vuren pijpen voor C-H van de Holpijp 8'.</w:t>
      </w:r>
    </w:p>
    <w:p>
      <w:pPr>
        <w:pStyle w:val="T1"/>
        <w:jc w:val="start"/>
        <w:rPr>
          <w:lang w:val="nl-NL"/>
        </w:rPr>
      </w:pPr>
      <w:r>
        <w:rPr>
          <w:lang w:val="nl-NL"/>
        </w:rPr>
        <w:t>In het front spreken C-Fis van de Octaaf 4' (middenveld); de frontpijpen in de zijvelden en in de tussenvelden zijn stom.</w:t>
      </w:r>
    </w:p>
    <w:p>
      <w:pPr>
        <w:pStyle w:val="T1"/>
        <w:jc w:val="start"/>
        <w:rPr>
          <w:lang w:val="nl-NL"/>
        </w:rPr>
      </w:pPr>
      <w:r>
        <w:rPr>
          <w:lang w:val="nl-NL"/>
        </w:rPr>
        <w:t>Het oude pedaalklavier is van eiken. Het windtoestel bevindt zich onder in de kas.</w:t>
      </w:r>
    </w:p>
    <w:p>
      <w:pPr>
        <w:pStyle w:val="T1"/>
        <w:jc w:val="start"/>
        <w:rPr>
          <w:lang w:val="nl-NL"/>
        </w:rPr>
      </w:pPr>
      <w:r>
        <w:rPr>
          <w:lang w:val="nl-NL"/>
        </w:rPr>
        <w:t>De eiken lade is chromatisch ingedeeld. De achterste sleep (thans voor Quint 3'), heeft aanwijzingen die mogelijk op een tweekorig register in een vroeger stadium wijzen. In de in 1973 aangetroffen situatie waren geen halveringen aanwezig. De herstelde halvering van vier registers is uit het oude bestand van slepen afgeleid. De volgorde van de registers op de lade is: (vanaf de frontzijde): Holpijp, Fluit 4', Prestant D 8', Octaaf 4', Octaaf 2' en Quint 3'.</w:t>
      </w:r>
    </w:p>
    <w:p>
      <w:pPr>
        <w:pStyle w:val="T1"/>
        <w:jc w:val="start"/>
        <w:rPr>
          <w:lang w:val="nl-NL"/>
        </w:rPr>
      </w:pPr>
      <w:r>
        <w:rPr>
          <w:lang w:val="nl-NL"/>
        </w:rPr>
        <w:t>Het oude pijpwerk is niet homogeen wat leeftijd en makelij betreft. Holpijp en Octaaf 2' lijken de oudste registers te zijn. Vóór 1973 begon de Octaaf 4' op c, de lade bezat echter wel boringen voor het groot octaaf. In het kader van de restauratie van 1979 is het register gecompleteerd. De Fluit 4' is van C-h gedekt en in de discant open, cilindrisch. De Quint 3' is van C-H als roerfluit uitgevoerd, vanaf c open, cilindrisch.</w:t>
      </w:r>
    </w:p>
    <w:p>
      <w:pPr>
        <w:pStyle w:val="T1"/>
        <w:jc w:val="start"/>
        <w:rPr/>
      </w:pPr>
      <w:r>
        <w:rPr>
          <w:lang w:val="nl-NL"/>
        </w:rPr>
        <w:t>De in 1973 aangetroffen toonhoogte was 460 Hz op a</w:t>
      </w:r>
      <w:r>
        <w:rPr>
          <w:vertAlign w:val="superscript"/>
          <w:lang w:val="nl-NL"/>
        </w:rPr>
        <w:t>1</w:t>
      </w:r>
      <w:r>
        <w:rPr>
          <w:lang w:val="nl-NL"/>
        </w:rPr>
        <w:t>. Veel pijpen waren van stemkrullen voorzien. Door herplaatsen van het pijpwerk aan de hand van de registerinscripties en toonnamen konden later tussengeschoven pijpen worden verwijderd en werd de huidige toonhoogte bereikt. Van de niet verschoven pijpen van de Holpijp 8' werden de corpora verlengd.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ages>3</Pages>
  <Words>740</Words>
  <Characters>4082</Characters>
  <CharactersWithSpaces>4733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2008-05-05T14:07:00Z</dcterms:created>
  <dc:creator>WS1</dc:creator>
  <dc:description/>
  <dc:language>en-US</dc:language>
  <cp:lastModifiedBy>NIvO</cp:lastModifiedBy>
  <dcterms:modified xsi:type="dcterms:W3CDTF">2008-07-21T11:36:00Z</dcterms:modified>
  <cp:revision>4</cp:revision>
  <dc:subject/>
  <dc:title>Utrecht / 1880</dc:title>
</cp:coreProperties>
</file>