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Asten / 1901</w:t>
      </w:r>
    </w:p>
    <w:p>
      <w:pPr>
        <w:pStyle w:val="Heading2"/>
        <w:numPr>
          <w:ilvl w:val="0"/>
          <w:numId w:val="0"/>
        </w:numPr>
        <w:ind w:start="0" w:hanging="0"/>
        <w:rPr>
          <w:i w:val="false"/>
          <w:i w:val="false"/>
          <w:iCs/>
        </w:rPr>
      </w:pPr>
      <w:r>
        <w:rPr>
          <w:i w:val="false"/>
          <w:iCs/>
        </w:rPr>
        <w:t>R.K. Kerk H. Maria Presentatie</w:t>
      </w:r>
    </w:p>
    <w:p>
      <w:pPr>
        <w:pStyle w:val="T1"/>
        <w:jc w:val="start"/>
        <w:rPr>
          <w:i/>
          <w:i/>
          <w:iCs/>
          <w:lang w:val="nl-NL"/>
        </w:rPr>
      </w:pPr>
      <w:r>
        <w:rPr>
          <w:i/>
          <w:iCs/>
          <w:lang w:val="nl-NL"/>
        </w:rPr>
      </w:r>
    </w:p>
    <w:p>
      <w:pPr>
        <w:pStyle w:val="T1"/>
        <w:jc w:val="start"/>
        <w:rPr>
          <w:i/>
          <w:i/>
          <w:iCs/>
          <w:lang w:val="nl-NL"/>
        </w:rPr>
      </w:pPr>
      <w:r>
        <w:rPr>
          <w:i/>
          <w:iCs/>
          <w:lang w:val="nl-NL"/>
        </w:rPr>
        <w:t>Hoog opgaande driebeukige kruisbasiliek uit 1896-1898 naar ontwerp van C. Franssen. Kooromgang met straalkapellen en luchtbogen. Toren met achtkantige naaldspits en flankerende hoektorentjes. Inwendig kruisribgewelven en bundelpijlers met natuurstenen koolbladkapitelen. Neobarokke preekstoel uit 1859 van de gebroeders Goossens.</w:t>
      </w:r>
    </w:p>
    <w:p>
      <w:pPr>
        <w:pStyle w:val="T1"/>
        <w:jc w:val="start"/>
        <w:rPr>
          <w:i/>
          <w:i/>
          <w:iCs/>
          <w:lang w:val="nl-NL"/>
        </w:rPr>
      </w:pPr>
      <w:r>
        <w:rPr>
          <w:i/>
          <w:iCs/>
          <w:lang w:val="nl-NL"/>
        </w:rPr>
      </w:r>
    </w:p>
    <w:p>
      <w:pPr>
        <w:pStyle w:val="T1"/>
        <w:jc w:val="start"/>
        <w:rPr>
          <w:lang w:val="nl-NL"/>
        </w:rPr>
      </w:pPr>
      <w:r>
        <w:rPr>
          <w:lang w:val="nl-NL"/>
        </w:rPr>
        <w:t>Kas: 1901/1973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wat kaal front in vergelijking met de fronten die twintig jaar eerder werden gemaakt door de Gebr. Franssen, bijvoorbeeld in Vlijmen (1878) en Westbeemster (1880, deel 1878-1886, 55-57 en 141-143). Dit fronttype is eenmaal eerder toegepast, te Schiedam (1888, deel 1886-1894, 104-107), in navolging van Maarschalkweerd (Hoorn, 1883, deel 1878-1886, 256-258). We zien een vijfdelig front, waarvan de onderbouw later verhoogd is met een deel dat deels open is en de ruimte geeft aan de klank van het onderpositief. Het is modern en fantasierijk versierd met inspringende driehoekjes. We zien verhoogde pijpstokken bij de tussenvelden, elk versierd met driemaal de gotische driepas, en een sterk verhoogde pijpstok van het middenveld met een gotische vierpas. De velden zijn alle aan de pijpuiteinden versierd met het bovendeel van een spitsboogfries. Bovenop het orgel staat een aantal kruisbloemen, een andere herinnering aan de neogotische vormentaal van weleer.</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29.</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9.</w:t>
      </w:r>
    </w:p>
    <w:p>
      <w:pPr>
        <w:pStyle w:val="T3Lit"/>
        <w:jc w:val="start"/>
        <w:rPr/>
      </w:pPr>
      <w:r>
        <w:rPr>
          <w:i/>
          <w:lang w:val="nl-NL"/>
        </w:rPr>
        <w:t>Het Orgel</w:t>
      </w:r>
      <w:r>
        <w:rPr>
          <w:lang w:val="nl-NL"/>
        </w:rPr>
        <w:t>, 69/12 (1973), 360, 363.</w:t>
      </w:r>
    </w:p>
    <w:p>
      <w:pPr>
        <w:pStyle w:val="T3Lit"/>
        <w:jc w:val="start"/>
        <w:rPr>
          <w:lang w:val="nl-NL"/>
        </w:rPr>
      </w:pPr>
      <w:r>
        <w:rPr>
          <w:i/>
          <w:iCs/>
          <w:lang w:val="nl-NL"/>
        </w:rPr>
        <w:t xml:space="preserve">Orgelnieuws Verschueren b.v., </w:t>
      </w:r>
      <w:r>
        <w:rPr>
          <w:lang w:val="nl-NL"/>
        </w:rPr>
        <w:t>maart 1974</w:t>
      </w:r>
      <w:r>
        <w:rPr>
          <w:i/>
          <w:iCs/>
          <w:lang w:val="nl-NL"/>
        </w:rPr>
        <w:t>.</w:t>
      </w:r>
    </w:p>
    <w:p>
      <w:pPr>
        <w:pStyle w:val="T3Lit"/>
        <w:jc w:val="start"/>
        <w:rPr/>
      </w:pPr>
      <w:r>
        <w:rPr>
          <w:lang w:val="nl-NL"/>
        </w:rPr>
        <w:t>‘</w:t>
      </w:r>
      <w:r>
        <w:rPr>
          <w:lang w:val="nl-NL"/>
        </w:rPr>
        <w:t xml:space="preserve">Het Orgel in de kerk van H. Maria Presentatie te Asten’. </w:t>
      </w:r>
      <w:r>
        <w:rPr>
          <w:i/>
          <w:iCs/>
          <w:lang w:val="nl-NL"/>
        </w:rPr>
        <w:t>De Orgelvriend</w:t>
      </w:r>
      <w:r>
        <w:rPr>
          <w:lang w:val="nl-NL"/>
        </w:rPr>
        <w:t>, 16/11 (1974), 10-11.</w:t>
      </w:r>
    </w:p>
    <w:p>
      <w:pPr>
        <w:pStyle w:val="T3Lit"/>
        <w:jc w:val="start"/>
        <w:rPr>
          <w:lang w:val="nl-NL"/>
        </w:rPr>
      </w:pPr>
      <w:r>
        <w:rPr>
          <w:lang w:val="nl-NL"/>
        </w:rPr>
      </w:r>
    </w:p>
    <w:p>
      <w:pPr>
        <w:pStyle w:val="T3Lit"/>
        <w:jc w:val="start"/>
        <w:rPr>
          <w:lang w:val="nl-NL"/>
        </w:rPr>
      </w:pPr>
      <w:r>
        <w:rPr>
          <w:lang w:val="nl-NL"/>
        </w:rPr>
        <w:t>Monumentnummer 8443</w:t>
      </w:r>
    </w:p>
    <w:p>
      <w:pPr>
        <w:pStyle w:val="T3Lit"/>
        <w:jc w:val="start"/>
        <w:rPr>
          <w:lang w:val="nl-NL"/>
        </w:rPr>
      </w:pPr>
      <w:r>
        <w:rPr>
          <w:lang w:val="nl-NL"/>
        </w:rPr>
        <w:t>Orgelnummer 109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Franssen</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1. 1901</w:t>
      </w:r>
    </w:p>
    <w:p>
      <w:pPr>
        <w:pStyle w:val="T1"/>
        <w:jc w:val="start"/>
        <w:rPr>
          <w:lang w:val="nl-NL"/>
        </w:rPr>
      </w:pPr>
      <w:r>
        <w:rPr>
          <w:lang w:val="nl-NL"/>
        </w:rPr>
        <w:t>2. 1973</w:t>
      </w:r>
    </w:p>
    <w:p>
      <w:pPr>
        <w:pStyle w:val="T1"/>
        <w:jc w:val="start"/>
        <w:rPr>
          <w:lang w:val="nl-NL"/>
        </w:rPr>
      </w:pPr>
      <w:r>
        <w:rPr>
          <w:lang w:val="nl-NL"/>
        </w:rPr>
      </w:r>
    </w:p>
    <w:p>
      <w:pPr>
        <w:pStyle w:val="T1"/>
        <w:jc w:val="start"/>
        <w:rPr/>
      </w:pPr>
      <w:r>
        <w:rPr/>
        <w:t>Dispositie ca 1970</w:t>
      </w:r>
    </w:p>
    <w:tbl>
      <w:tblPr>
        <w:tblW w:w="4814" w:type="dxa"/>
        <w:jc w:val="start"/>
        <w:tblInd w:w="0" w:type="dxa"/>
        <w:tblLayout w:type="fixed"/>
        <w:tblCellMar>
          <w:top w:w="0" w:type="dxa"/>
          <w:start w:w="70" w:type="dxa"/>
          <w:bottom w:w="0" w:type="dxa"/>
          <w:end w:w="70" w:type="dxa"/>
        </w:tblCellMar>
      </w:tblPr>
      <w:tblGrid>
        <w:gridCol w:w="1509"/>
        <w:gridCol w:w="459"/>
        <w:gridCol w:w="1418"/>
        <w:gridCol w:w="271"/>
        <w:gridCol w:w="789"/>
        <w:gridCol w:w="368"/>
      </w:tblGrid>
      <w:tr>
        <w:trPr/>
        <w:tc>
          <w:tcPr>
            <w:tcW w:w="1509" w:type="dxa"/>
            <w:tcBorders/>
          </w:tcPr>
          <w:p>
            <w:pPr>
              <w:pStyle w:val="T4dispositie"/>
              <w:rPr>
                <w:i/>
                <w:i/>
                <w:iCs/>
              </w:rPr>
            </w:pPr>
            <w:r>
              <w:rPr>
                <w:i/>
                <w:iCs/>
              </w:rPr>
              <w:t>Hoofdwerk (I)</w:t>
            </w:r>
          </w:p>
          <w:p>
            <w:pPr>
              <w:pStyle w:val="T4dispositie"/>
              <w:rPr/>
            </w:pPr>
            <w:r>
              <w:rPr/>
              <w:t>Bourdon</w:t>
            </w:r>
          </w:p>
          <w:p>
            <w:pPr>
              <w:pStyle w:val="T4dispositie"/>
              <w:rPr/>
            </w:pPr>
            <w:r>
              <w:rPr/>
              <w:t>Principaal</w:t>
            </w:r>
          </w:p>
          <w:p>
            <w:pPr>
              <w:pStyle w:val="T4dispositie"/>
              <w:rPr/>
            </w:pPr>
            <w:r>
              <w:rPr/>
              <w:t>Bourdon</w:t>
            </w:r>
          </w:p>
          <w:p>
            <w:pPr>
              <w:pStyle w:val="T4dispositie"/>
              <w:rPr/>
            </w:pPr>
            <w:r>
              <w:rPr/>
              <w:t>Flauto portunale</w:t>
            </w:r>
          </w:p>
          <w:p>
            <w:pPr>
              <w:pStyle w:val="T4dispositie"/>
              <w:rPr/>
            </w:pPr>
            <w:r>
              <w:rPr/>
              <w:t>Viola di gamba</w:t>
            </w:r>
          </w:p>
          <w:p>
            <w:pPr>
              <w:pStyle w:val="T4dispositie"/>
              <w:rPr/>
            </w:pPr>
            <w:r>
              <w:rPr/>
              <w:t>Flute harmonique</w:t>
            </w:r>
          </w:p>
          <w:p>
            <w:pPr>
              <w:pStyle w:val="T4dispositie"/>
              <w:rPr/>
            </w:pPr>
            <w:r>
              <w:rPr/>
              <w:t>Prestant</w:t>
            </w:r>
          </w:p>
          <w:p>
            <w:pPr>
              <w:pStyle w:val="T4dispositie"/>
              <w:rPr/>
            </w:pPr>
            <w:r>
              <w:rPr/>
              <w:t>Octaaf</w:t>
            </w:r>
          </w:p>
          <w:p>
            <w:pPr>
              <w:pStyle w:val="T4dispositie"/>
              <w:rPr/>
            </w:pPr>
            <w:r>
              <w:rPr/>
              <w:t>Mixtuur</w:t>
            </w:r>
          </w:p>
          <w:p>
            <w:pPr>
              <w:pStyle w:val="T4dispositie"/>
              <w:rPr/>
            </w:pPr>
            <w:r>
              <w:rPr/>
              <w:t>Trompet</w:t>
            </w:r>
          </w:p>
        </w:tc>
        <w:tc>
          <w:tcPr>
            <w:tcW w:w="459"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pPr>
            <w:r>
              <w:rPr/>
              <w:t>3 st.</w:t>
            </w:r>
          </w:p>
          <w:p>
            <w:pPr>
              <w:pStyle w:val="T4dispositie"/>
              <w:rPr/>
            </w:pPr>
            <w:r>
              <w:rPr/>
              <w:t>8'</w:t>
            </w:r>
          </w:p>
        </w:tc>
        <w:tc>
          <w:tcPr>
            <w:tcW w:w="1418" w:type="dxa"/>
            <w:tcBorders/>
          </w:tcPr>
          <w:p>
            <w:pPr>
              <w:pStyle w:val="T4dispositie"/>
              <w:rPr>
                <w:i/>
                <w:i/>
                <w:iCs/>
              </w:rPr>
            </w:pPr>
            <w:r>
              <w:rPr>
                <w:i/>
                <w:iCs/>
              </w:rPr>
              <w:t>Positief (II)</w:t>
            </w:r>
          </w:p>
          <w:p>
            <w:pPr>
              <w:pStyle w:val="T4dispositie"/>
              <w:rPr>
                <w:lang w:val="fr-FR"/>
              </w:rPr>
            </w:pPr>
            <w:r>
              <w:rPr>
                <w:lang w:val="fr-FR"/>
              </w:rPr>
              <w:t>Gedeckt</w:t>
            </w:r>
          </w:p>
          <w:p>
            <w:pPr>
              <w:pStyle w:val="T4dispositie"/>
              <w:rPr>
                <w:lang w:val="fr-FR"/>
              </w:rPr>
            </w:pPr>
            <w:r>
              <w:rPr>
                <w:lang w:val="fr-FR"/>
              </w:rPr>
              <w:t>Vioolprestant</w:t>
            </w:r>
          </w:p>
          <w:p>
            <w:pPr>
              <w:pStyle w:val="T4dispositie"/>
              <w:rPr>
                <w:lang w:val="fr-FR"/>
              </w:rPr>
            </w:pPr>
            <w:r>
              <w:rPr>
                <w:lang w:val="fr-FR"/>
              </w:rPr>
              <w:t>Gamba</w:t>
            </w:r>
          </w:p>
          <w:p>
            <w:pPr>
              <w:pStyle w:val="T4dispositie"/>
              <w:rPr>
                <w:lang w:val="fr-FR"/>
              </w:rPr>
            </w:pPr>
            <w:r>
              <w:rPr>
                <w:lang w:val="fr-FR"/>
              </w:rPr>
              <w:t>Voix celeste</w:t>
            </w:r>
          </w:p>
          <w:p>
            <w:pPr>
              <w:pStyle w:val="T4dispositie"/>
              <w:rPr>
                <w:lang w:val="fr-FR"/>
              </w:rPr>
            </w:pPr>
            <w:r>
              <w:rPr>
                <w:lang w:val="fr-FR"/>
              </w:rPr>
              <w:t>Flute</w:t>
            </w:r>
          </w:p>
          <w:p>
            <w:pPr>
              <w:pStyle w:val="T4dispositie"/>
              <w:rPr>
                <w:lang w:val="fr-FR"/>
              </w:rPr>
            </w:pPr>
            <w:r>
              <w:rPr>
                <w:lang w:val="fr-FR"/>
              </w:rPr>
              <w:t>Fugara</w:t>
            </w:r>
          </w:p>
          <w:p>
            <w:pPr>
              <w:pStyle w:val="T4dispositie"/>
              <w:rPr>
                <w:lang w:val="fr-FR"/>
              </w:rPr>
            </w:pPr>
            <w:r>
              <w:rPr>
                <w:lang w:val="fr-FR"/>
              </w:rPr>
              <w:t>Basson-hautbois</w:t>
            </w:r>
          </w:p>
        </w:tc>
        <w:tc>
          <w:tcPr>
            <w:tcW w:w="271" w:type="dxa"/>
            <w:tcBorders/>
          </w:tcPr>
          <w:p>
            <w:pPr>
              <w:pStyle w:val="T4dispositie"/>
              <w:snapToGrid w:val="false"/>
              <w:rPr>
                <w:lang w:val="fr-FR"/>
              </w:rPr>
            </w:pPr>
            <w:r>
              <w:rPr>
                <w:lang w:val="fr-F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c>
          <w:tcPr>
            <w:tcW w:w="789" w:type="dxa"/>
            <w:tcBorders/>
          </w:tcPr>
          <w:p>
            <w:pPr>
              <w:pStyle w:val="T4dispositie"/>
              <w:rPr>
                <w:i/>
                <w:i/>
                <w:iCs/>
                <w:lang w:val="nl-NL"/>
              </w:rPr>
            </w:pPr>
            <w:r>
              <w:rPr>
                <w:i/>
                <w:iCs/>
                <w:lang w:val="nl-NL"/>
              </w:rPr>
              <w:t>Pedaal</w:t>
            </w:r>
          </w:p>
          <w:p>
            <w:pPr>
              <w:pStyle w:val="T4dispositie"/>
              <w:rPr>
                <w:lang w:val="nl-NL"/>
              </w:rPr>
            </w:pPr>
            <w:r>
              <w:rPr>
                <w:lang w:val="nl-NL"/>
              </w:rPr>
              <w:t>Bazuin</w:t>
            </w:r>
          </w:p>
        </w:tc>
        <w:tc>
          <w:tcPr>
            <w:tcW w:w="368" w:type="dxa"/>
            <w:tcBorders/>
          </w:tcPr>
          <w:p>
            <w:pPr>
              <w:pStyle w:val="T4dispositie"/>
              <w:snapToGrid w:val="false"/>
              <w:rPr>
                <w:lang w:val="nl-NL"/>
              </w:rPr>
            </w:pPr>
            <w:r>
              <w:rPr>
                <w:lang w:val="nl-NL"/>
              </w:rPr>
            </w:r>
          </w:p>
          <w:p>
            <w:pPr>
              <w:pStyle w:val="T4dispositie"/>
              <w:rPr>
                <w:lang w:val="fr-FR"/>
              </w:rPr>
            </w:pPr>
            <w:r>
              <w:rPr>
                <w:lang w:val="fr-FR"/>
              </w:rPr>
              <w:t>16'</w:t>
            </w:r>
          </w:p>
        </w:tc>
      </w:tr>
    </w:tbl>
    <w:p>
      <w:pPr>
        <w:pStyle w:val="T4dispositie"/>
        <w:rPr/>
      </w:pPr>
      <w:r>
        <w:rPr/>
      </w:r>
    </w:p>
    <w:p>
      <w:pPr>
        <w:pStyle w:val="T4dispositie"/>
        <w:rPr>
          <w:lang w:val="nl-NL"/>
        </w:rPr>
      </w:pPr>
      <w:r>
        <w:rPr>
          <w:lang w:val="nl-NL"/>
        </w:rPr>
        <w:t>manuaalomvang C-f</w:t>
      </w:r>
      <w:r>
        <w:rPr>
          <w:vertAlign w:val="superscript"/>
          <w:lang w:val="nl-NL"/>
        </w:rPr>
        <w:t>3</w:t>
      </w:r>
      <w:r>
        <w:rPr>
          <w:lang w:val="nl-NL"/>
        </w:rPr>
        <w:t>, pedaalomvang C-d</w:t>
      </w:r>
      <w:r>
        <w:rPr>
          <w:vertAlign w:val="superscript"/>
          <w:lang w:val="nl-NL"/>
        </w:rPr>
        <w:t>1</w:t>
      </w:r>
    </w:p>
    <w:p>
      <w:pPr>
        <w:pStyle w:val="T4dispositie"/>
        <w:rPr>
          <w:lang w:val="nl-NL"/>
        </w:rPr>
      </w:pPr>
      <w:r>
        <w:rPr>
          <w:lang w:val="nl-NL"/>
        </w:rPr>
        <w:t>registertractuur en toetstractuur HW pneumatisch, toetstractuur Pos mechanisch</w:t>
      </w:r>
    </w:p>
    <w:p>
      <w:pPr>
        <w:pStyle w:val="T4dispositie"/>
        <w:rPr>
          <w:lang w:val="nl-NL"/>
        </w:rPr>
      </w:pPr>
      <w:r>
        <w:rPr>
          <w:lang w:val="nl-NL"/>
        </w:rPr>
        <w:t>Mixtuur op kantsleep</w:t>
      </w:r>
    </w:p>
    <w:p>
      <w:pPr>
        <w:pStyle w:val="T1"/>
        <w:jc w:val="start"/>
        <w:rPr>
          <w:lang w:val="nl-NL"/>
        </w:rPr>
      </w:pPr>
      <w:r>
        <w:rPr>
          <w:lang w:val="nl-NL"/>
        </w:rPr>
      </w:r>
    </w:p>
    <w:p>
      <w:pPr>
        <w:pStyle w:val="T1"/>
        <w:jc w:val="start"/>
        <w:rPr/>
      </w:pPr>
      <w:r>
        <w:rPr/>
        <w:t>L. Verschueren 1973</w:t>
      </w:r>
    </w:p>
    <w:p>
      <w:pPr>
        <w:pStyle w:val="T1"/>
        <w:numPr>
          <w:ilvl w:val="0"/>
          <w:numId w:val="2"/>
        </w:numPr>
        <w:jc w:val="start"/>
        <w:rPr>
          <w:lang w:val="nl-NL"/>
        </w:rPr>
      </w:pPr>
      <w:r>
        <w:rPr>
          <w:lang w:val="nl-NL"/>
        </w:rPr>
        <w:t>orgel verplaatst vanuit toren (oksaal) naar zuidertransept</w:t>
      </w:r>
    </w:p>
    <w:p>
      <w:pPr>
        <w:pStyle w:val="T1"/>
        <w:numPr>
          <w:ilvl w:val="0"/>
          <w:numId w:val="2"/>
        </w:numPr>
        <w:jc w:val="start"/>
        <w:rPr>
          <w:lang w:val="nl-NL"/>
        </w:rPr>
      </w:pPr>
      <w:r>
        <w:rPr>
          <w:lang w:val="nl-NL"/>
        </w:rPr>
        <w:t>oorspronkelijke kas van onderbouw voorzien</w:t>
      </w:r>
    </w:p>
    <w:p>
      <w:pPr>
        <w:pStyle w:val="T1"/>
        <w:numPr>
          <w:ilvl w:val="0"/>
          <w:numId w:val="2"/>
        </w:numPr>
        <w:jc w:val="start"/>
        <w:rPr>
          <w:lang w:val="nl-NL"/>
        </w:rPr>
      </w:pPr>
      <w:r>
        <w:rPr>
          <w:lang w:val="nl-NL"/>
        </w:rPr>
        <w:t>pneumatische tractuur vervangen door mechanieken</w:t>
      </w:r>
    </w:p>
    <w:p>
      <w:pPr>
        <w:pStyle w:val="T1"/>
        <w:numPr>
          <w:ilvl w:val="0"/>
          <w:numId w:val="2"/>
        </w:numPr>
        <w:jc w:val="start"/>
        <w:rPr>
          <w:lang w:val="nl-NL"/>
        </w:rPr>
      </w:pPr>
      <w:r>
        <w:rPr>
          <w:lang w:val="nl-NL"/>
        </w:rPr>
        <w:t>nieuwe klaviatuur</w:t>
      </w:r>
    </w:p>
    <w:p>
      <w:pPr>
        <w:pStyle w:val="T1"/>
        <w:numPr>
          <w:ilvl w:val="0"/>
          <w:numId w:val="2"/>
        </w:numPr>
        <w:jc w:val="start"/>
        <w:rPr>
          <w:lang w:val="nl-NL"/>
        </w:rPr>
      </w:pPr>
      <w:r>
        <w:rPr>
          <w:lang w:val="nl-NL"/>
        </w:rPr>
        <w:t>nieuwe windvoorziening en windladen</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6733" w:type="dxa"/>
        <w:jc w:val="start"/>
        <w:tblInd w:w="0" w:type="dxa"/>
        <w:tblLayout w:type="fixed"/>
        <w:tblCellMar>
          <w:top w:w="0" w:type="dxa"/>
          <w:start w:w="70" w:type="dxa"/>
          <w:bottom w:w="0" w:type="dxa"/>
          <w:end w:w="70" w:type="dxa"/>
        </w:tblCellMar>
      </w:tblPr>
      <w:tblGrid>
        <w:gridCol w:w="1488"/>
        <w:gridCol w:w="850"/>
        <w:gridCol w:w="1843"/>
        <w:gridCol w:w="851"/>
        <w:gridCol w:w="992"/>
        <w:gridCol w:w="709"/>
      </w:tblGrid>
      <w:tr>
        <w:trPr/>
        <w:tc>
          <w:tcPr>
            <w:tcW w:w="1488" w:type="dxa"/>
            <w:tcBorders/>
          </w:tcPr>
          <w:p>
            <w:pPr>
              <w:pStyle w:val="T4dispositie"/>
              <w:jc w:val="start"/>
              <w:rPr>
                <w:i/>
                <w:i/>
                <w:iCs/>
                <w:lang w:val="nl-NL"/>
              </w:rPr>
            </w:pPr>
            <w:r>
              <w:rPr>
                <w:i/>
                <w:iCs/>
                <w:lang w:val="nl-NL"/>
              </w:rPr>
              <w:t>Hoofdwerk(I)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color w:val="000000"/>
                <w:szCs w:val="24"/>
                <w:lang w:val="nl-NL" w:eastAsia="nl-NL"/>
              </w:rPr>
            </w:pPr>
            <w:r>
              <w:rPr>
                <w:color w:val="000000"/>
                <w:szCs w:val="24"/>
                <w:lang w:val="nl-NL" w:eastAsia="nl-NL"/>
              </w:rPr>
              <w:t>Prestant</w:t>
            </w:r>
          </w:p>
          <w:p>
            <w:pPr>
              <w:pStyle w:val="T4dispositie"/>
              <w:jc w:val="start"/>
              <w:rPr>
                <w:color w:val="000000"/>
                <w:szCs w:val="24"/>
                <w:lang w:val="nl-NL" w:eastAsia="nl-NL"/>
              </w:rPr>
            </w:pPr>
            <w:r>
              <w:rPr>
                <w:color w:val="000000"/>
                <w:szCs w:val="24"/>
                <w:lang w:val="nl-NL" w:eastAsia="nl-NL"/>
              </w:rPr>
              <w:t>Bourdon</w:t>
            </w:r>
          </w:p>
          <w:p>
            <w:pPr>
              <w:pStyle w:val="T4dispositie"/>
              <w:jc w:val="start"/>
              <w:rPr>
                <w:color w:val="000000"/>
                <w:szCs w:val="24"/>
                <w:lang w:val="nl-NL" w:eastAsia="nl-NL"/>
              </w:rPr>
            </w:pPr>
            <w:r>
              <w:rPr>
                <w:color w:val="000000"/>
                <w:szCs w:val="24"/>
                <w:lang w:val="nl-NL" w:eastAsia="nl-NL"/>
              </w:rPr>
              <w:t>Octaaf</w:t>
            </w:r>
          </w:p>
          <w:p>
            <w:pPr>
              <w:pStyle w:val="T4dispositie"/>
              <w:jc w:val="start"/>
              <w:rPr>
                <w:color w:val="000000"/>
                <w:szCs w:val="24"/>
                <w:lang w:val="nl-NL" w:eastAsia="nl-NL"/>
              </w:rPr>
            </w:pPr>
            <w:r>
              <w:rPr>
                <w:color w:val="000000"/>
                <w:szCs w:val="24"/>
                <w:lang w:val="nl-NL" w:eastAsia="nl-NL"/>
              </w:rPr>
              <w:t>Fluit</w:t>
            </w:r>
          </w:p>
          <w:p>
            <w:pPr>
              <w:pStyle w:val="T4dispositie"/>
              <w:jc w:val="start"/>
              <w:rPr>
                <w:color w:val="000000"/>
                <w:szCs w:val="24"/>
                <w:lang w:val="nl-NL" w:eastAsia="nl-NL"/>
              </w:rPr>
            </w:pPr>
            <w:r>
              <w:rPr>
                <w:color w:val="000000"/>
                <w:szCs w:val="24"/>
                <w:lang w:val="nl-NL" w:eastAsia="nl-NL"/>
              </w:rPr>
              <w:t>Quint</w:t>
            </w:r>
          </w:p>
          <w:p>
            <w:pPr>
              <w:pStyle w:val="T4dispositie"/>
              <w:jc w:val="start"/>
              <w:rPr>
                <w:color w:val="000000"/>
                <w:szCs w:val="24"/>
                <w:lang w:val="nl-NL" w:eastAsia="nl-NL"/>
              </w:rPr>
            </w:pPr>
            <w:r>
              <w:rPr>
                <w:color w:val="000000"/>
                <w:szCs w:val="24"/>
                <w:lang w:val="nl-NL" w:eastAsia="nl-NL"/>
              </w:rPr>
              <w:t>Octaaf</w:t>
            </w:r>
          </w:p>
          <w:p>
            <w:pPr>
              <w:pStyle w:val="T4dispositie"/>
              <w:jc w:val="start"/>
              <w:rPr>
                <w:color w:val="000000"/>
                <w:szCs w:val="24"/>
                <w:lang w:val="nl-NL" w:eastAsia="nl-NL"/>
              </w:rPr>
            </w:pPr>
            <w:r>
              <w:rPr>
                <w:color w:val="000000"/>
                <w:szCs w:val="24"/>
                <w:lang w:val="nl-NL" w:eastAsia="nl-NL"/>
              </w:rPr>
              <w:t>Mixtuur</w:t>
            </w:r>
          </w:p>
          <w:p>
            <w:pPr>
              <w:pStyle w:val="T4dispositie"/>
              <w:jc w:val="start"/>
              <w:rPr>
                <w:color w:val="000000"/>
                <w:szCs w:val="24"/>
                <w:lang w:val="nl-NL" w:eastAsia="nl-NL"/>
              </w:rPr>
            </w:pPr>
            <w:r>
              <w:rPr>
                <w:color w:val="000000"/>
                <w:szCs w:val="24"/>
                <w:lang w:val="nl-NL" w:eastAsia="nl-NL"/>
              </w:rPr>
              <w:t>Trompet</w:t>
            </w:r>
          </w:p>
          <w:p>
            <w:pPr>
              <w:pStyle w:val="T4dispositie"/>
              <w:jc w:val="start"/>
              <w:rPr>
                <w:lang w:val="nl-NL"/>
              </w:rPr>
            </w:pPr>
            <w:r>
              <w:rPr>
                <w:color w:val="000000"/>
                <w:szCs w:val="24"/>
                <w:lang w:val="nl-NL" w:eastAsia="nl-NL"/>
              </w:rPr>
              <w:t>Clairon</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8'</w:t>
            </w:r>
          </w:p>
          <w:p>
            <w:pPr>
              <w:pStyle w:val="T4dispositie"/>
              <w:jc w:val="start"/>
              <w:rPr>
                <w:lang w:val="nl-NL"/>
              </w:rPr>
            </w:pPr>
            <w:r>
              <w:rPr>
                <w:lang w:val="nl-NL"/>
              </w:rPr>
              <w:t>4'</w:t>
            </w:r>
          </w:p>
        </w:tc>
        <w:tc>
          <w:tcPr>
            <w:tcW w:w="1843" w:type="dxa"/>
            <w:tcBorders/>
          </w:tcPr>
          <w:p>
            <w:pPr>
              <w:pStyle w:val="T4dispositie"/>
              <w:jc w:val="start"/>
              <w:rPr>
                <w:lang w:val="nl-NL"/>
              </w:rPr>
            </w:pPr>
            <w:r>
              <w:rPr>
                <w:i/>
                <w:lang w:val="nl-NL"/>
              </w:rPr>
              <w:t>Onderpositief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Quint</w:t>
            </w:r>
          </w:p>
          <w:p>
            <w:pPr>
              <w:pStyle w:val="T4dispositie"/>
              <w:jc w:val="start"/>
              <w:rPr>
                <w:lang w:val="nl-NL"/>
              </w:rPr>
            </w:pPr>
            <w:r>
              <w:rPr>
                <w:lang w:val="nl-NL"/>
              </w:rPr>
              <w:t>Basson-Hautbois</w:t>
            </w:r>
          </w:p>
        </w:tc>
        <w:tc>
          <w:tcPr>
            <w:tcW w:w="85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8'</w:t>
            </w:r>
          </w:p>
        </w:tc>
        <w:tc>
          <w:tcPr>
            <w:tcW w:w="992" w:type="dxa"/>
            <w:tcBorders/>
          </w:tcPr>
          <w:p>
            <w:pPr>
              <w:pStyle w:val="T4dispositie"/>
              <w:jc w:val="start"/>
              <w:rPr>
                <w:lang w:val="nl-NL"/>
              </w:rPr>
            </w:pPr>
            <w:r>
              <w:rPr>
                <w:i/>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color w:val="000000"/>
                <w:szCs w:val="24"/>
                <w:lang w:val="nl-NL" w:eastAsia="nl-NL"/>
              </w:rPr>
            </w:pPr>
            <w:r>
              <w:rPr>
                <w:color w:val="000000"/>
                <w:szCs w:val="24"/>
                <w:lang w:val="nl-NL" w:eastAsia="nl-NL"/>
              </w:rPr>
              <w:t>Gedekt</w:t>
            </w:r>
          </w:p>
          <w:p>
            <w:pPr>
              <w:pStyle w:val="T4dispositie"/>
              <w:jc w:val="start"/>
              <w:rPr>
                <w:lang w:val="nl-NL"/>
              </w:rPr>
            </w:pPr>
            <w:r>
              <w:rPr>
                <w:lang w:val="nl-NL"/>
              </w:rPr>
              <w:t>Koraal</w:t>
            </w:r>
          </w:p>
          <w:p>
            <w:pPr>
              <w:pStyle w:val="T4dispositie"/>
              <w:jc w:val="start"/>
              <w:rPr>
                <w:lang w:val="nl-NL"/>
              </w:rPr>
            </w:pPr>
            <w:r>
              <w:rPr>
                <w:lang w:val="nl-NL"/>
              </w:rPr>
              <w:t>Bazuin</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color w:val="000000"/>
          <w:szCs w:val="24"/>
          <w:lang w:val="nl-NL" w:eastAsia="nl-NL"/>
        </w:rPr>
      </w:pPr>
      <w:r>
        <w:rPr>
          <w:color w:val="000000"/>
          <w:szCs w:val="24"/>
          <w:lang w:val="nl-NL" w:eastAsia="nl-NL"/>
        </w:rPr>
        <w:t>koppelingen HW-OP, Ped-HW, Ped-OP</w:t>
      </w:r>
    </w:p>
    <w:p>
      <w:pPr>
        <w:pStyle w:val="T1"/>
        <w:jc w:val="start"/>
        <w:rPr>
          <w:color w:val="000000"/>
          <w:szCs w:val="24"/>
          <w:lang w:val="nl-NL" w:eastAsia="nl-NL"/>
        </w:rPr>
      </w:pPr>
      <w:r>
        <w:rPr>
          <w:color w:val="000000"/>
          <w:szCs w:val="24"/>
          <w:lang w:val="nl-NL" w:eastAsia="nl-NL"/>
        </w:rPr>
      </w:r>
    </w:p>
    <w:p>
      <w:pPr>
        <w:pStyle w:val="T1"/>
        <w:jc w:val="start"/>
        <w:rPr>
          <w:lang w:val="nl-NL"/>
        </w:rPr>
      </w:pPr>
      <w:r>
        <w:rPr>
          <w:lang w:val="nl-NL"/>
        </w:rPr>
        <w:t>Samenstelling vulstem</w:t>
      </w:r>
    </w:p>
    <w:tbl>
      <w:tblPr>
        <w:tblW w:w="4357" w:type="dxa"/>
        <w:jc w:val="start"/>
        <w:tblInd w:w="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w:t>
      </w:r>
    </w:p>
    <w:p>
      <w:pPr>
        <w:pStyle w:val="T1"/>
        <w:jc w:val="start"/>
        <w:rPr>
          <w:lang w:val="nl-NL"/>
        </w:rPr>
      </w:pPr>
      <w:r>
        <w:rPr>
          <w:lang w:val="nl-NL"/>
        </w:rPr>
        <w:t>Winddruk</w:t>
      </w:r>
    </w:p>
    <w:p>
      <w:pPr>
        <w:pStyle w:val="T1"/>
        <w:jc w:val="start"/>
        <w:rPr>
          <w:lang w:val="nl-NL"/>
        </w:rPr>
      </w:pPr>
      <w:r>
        <w:rPr>
          <w:lang w:val="nl-NL"/>
        </w:rPr>
        <w:t>HW en OP 70 mm, Ped 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bovendeel van de kas (front, achterwand en zijwanden, dak) is vervaardigd van vurenhout, en is nog origineel. Het onderste gedeelte inclusief de klaviatuur dateert van 1973. Ook de magazijnbalg, de windkanalen (wijde flexibele buizen), windladen met verende sleepconstructie en de mechanieken (houten abstracten, aluminium wellen) zijn van 1973.</w:t>
      </w:r>
    </w:p>
    <w:p>
      <w:pPr>
        <w:pStyle w:val="T1"/>
        <w:jc w:val="start"/>
        <w:rPr/>
      </w:pPr>
      <w:r>
        <w:rPr>
          <w:lang w:val="nl-NL"/>
        </w:rPr>
        <w:t>De windlade van het HW ligt achter het hoofdwerkfront. Het pijpwerk staat in hele tonen vanuit het midden naar weerszijden aflopend opgesteld met de C-kant rechts. De frontpijpen van de Prestant 8' (C-d</w:t>
      </w:r>
      <w:r>
        <w:rPr>
          <w:vertAlign w:val="superscript"/>
          <w:lang w:val="nl-NL"/>
        </w:rPr>
        <w:t>1</w:t>
      </w:r>
      <w:r>
        <w:rPr>
          <w:lang w:val="nl-NL"/>
        </w:rPr>
        <w:t>) dateren uit 1973, de rest van dit register is van 1901. De volgende registers zijn eveneens van 1901, maar beide (Duitse) tongwerken wijken nogal af. Deze zijn afkomstig uit het Van Leeuwen-orgel van de Regentessekerk in Den Haag. C-H van de Octaaf 4' zijn van zink. Bij dit register en ander groot open pijpwerk (prestanten en strijkers) zijn de expressions dichtgesoldeerd. Alle pijpwerk van Franssen, op de kleinste na, heeft geperste labia. Van de Bourdon 8' is C-H van hout, de rest van metaal en gedekt. De Fluit 4' is conisch. Alle fluitregisters van Franssen hebben boogvormige opsneden, ook de houten pijpen. De Quint 2 2/3' is een opgeschoven strijker waarvan de freins zijn verwijderd. De Mixtuur is samengesteld uit pijpwerk van strijkers.</w:t>
      </w:r>
    </w:p>
    <w:p>
      <w:pPr>
        <w:pStyle w:val="T1"/>
        <w:jc w:val="start"/>
        <w:rPr/>
      </w:pPr>
      <w:r>
        <w:rPr>
          <w:lang w:val="nl-NL"/>
        </w:rPr>
        <w:t>De chromatisch ingedeelde lade van het Pos ligt in de onderkas. Aan de frontzijde staat de Basson-Hautbois, een Duits tongwerk uit 1901, waarvan het groot en driegestreept octaaf open zijn en de middenoctaven gedekt met gaten. Dan volgt de Quint 1 1/3', opgeschoven pijpwerk van 1901. Ook de Woudfluit 2' is opgeschoven; C-h open, discant conisch, van 1901. De Fluit 4' is van C-h</w:t>
      </w:r>
      <w:r>
        <w:rPr>
          <w:vertAlign w:val="superscript"/>
          <w:lang w:val="nl-NL"/>
        </w:rPr>
        <w:t>1</w:t>
      </w:r>
      <w:r>
        <w:rPr>
          <w:lang w:val="nl-NL"/>
        </w:rPr>
        <w:t xml:space="preserve"> gedekt en verder open. Dit register bestaat uit ouder, 19e-eeuws pijpwerk. De Prestant 4' dateert van 1901. C-H van de Holpijp 8' bestaat uit 19e-eeuws metalen pijpwerk, de rest is van 1901; fis</w:t>
      </w:r>
      <w:r>
        <w:rPr>
          <w:vertAlign w:val="superscript"/>
          <w:lang w:val="nl-NL"/>
        </w:rPr>
        <w:t>3</w:t>
      </w:r>
      <w:r>
        <w:rPr>
          <w:lang w:val="nl-NL"/>
        </w:rPr>
        <w:t xml:space="preserve"> en g</w:t>
      </w:r>
      <w:r>
        <w:rPr>
          <w:vertAlign w:val="superscript"/>
          <w:lang w:val="nl-NL"/>
        </w:rPr>
        <w:t>3</w:t>
      </w:r>
      <w:r>
        <w:rPr>
          <w:lang w:val="nl-NL"/>
        </w:rPr>
        <w:t xml:space="preserve"> zijn conisch, open. C-H van de Gamba (1901) zijn van grenenhout, de rest is van metaal, met rolbaarden in de bas.</w:t>
      </w:r>
    </w:p>
    <w:p>
      <w:pPr>
        <w:pStyle w:val="T1"/>
        <w:jc w:val="start"/>
        <w:rPr>
          <w:lang w:val="nl-NL"/>
        </w:rPr>
      </w:pPr>
      <w:r>
        <w:rPr>
          <w:lang w:val="nl-NL"/>
        </w:rPr>
        <w:t>Het Ped staat achter de oude kas in een aanbouw met een opstelling in hele tonen vanuit het midden naar weerszijden aflopend. Al dit pijpwerk is van 1901. Vooraan staat de Bazuin, met zinken bekers voor C-H. Van de Koraal 4' zijn C-H eveneens van zink. C-H van de Gedekt 8' zijn van hout, de rest is van metaal. De Subbas 16' is geheel van hout (gedekt) en staat van de lade afgevoerd.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Bronvermelding">
    <w:name w:val="bronvermelding"/>
    <w:basedOn w:val="Normal"/>
    <w:qFormat/>
    <w:pPr>
      <w:tabs>
        <w:tab w:val="clear" w:pos="708"/>
        <w:tab w:val="right" w:pos="9360" w:leader="none"/>
      </w:tabs>
      <w:autoSpaceDE w:val="false"/>
      <w:spacing w:lineRule="atLeast" w:line="2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3</Pages>
  <Words>840</Words>
  <Characters>4500</Characters>
  <CharactersWithSpaces>5176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2008-05-05T14:10:00Z</dcterms:created>
  <dc:creator>WS1</dc:creator>
  <dc:description/>
  <dc:language>en-US</dc:language>
  <cp:lastModifiedBy>NIvO</cp:lastModifiedBy>
  <cp:lastPrinted>2005-12-14T17:24:00Z</cp:lastPrinted>
  <dcterms:modified xsi:type="dcterms:W3CDTF">2008-06-24T15:09:00Z</dcterms:modified>
  <cp:revision>3</cp:revision>
  <dc:subject/>
  <dc:title>Steenwijk / 1880</dc:title>
</cp:coreProperties>
</file>