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Blokzijl / 1901</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Een uit een zaalkerk ontstane kruiskerk met ingebouwde toren. De noord-zuid georiënteerde zaalkerk werd gebouwd in 1609-1613 op de plaats van een oude kapel. In 1643-1644 aan de zuidzijde vergroot, in 1650 aan de westzijde en in 1662 aan de oostzijde waarmee de kruisvorm tot stand kwam. De kerk is in 1858 hersteld en 1902 en 1927-1928 gerestaureerd. De toren met twee geledingen, achtkantige lantaarn en spits, dateert uit 1630. Inwendig houten tongewelven uit 1662. Interieur grotendeels uit de bouwtijd, waaronder de preekstoel.</w:t>
      </w:r>
    </w:p>
    <w:p>
      <w:pPr>
        <w:pStyle w:val="T1"/>
        <w:jc w:val="start"/>
        <w:rPr>
          <w:i/>
          <w:i/>
          <w:iCs/>
          <w:lang w:val="nl-NL"/>
        </w:rPr>
      </w:pPr>
      <w:r>
        <w:rPr>
          <w:i/>
          <w:iCs/>
          <w:lang w:val="nl-NL"/>
        </w:rPr>
      </w:r>
    </w:p>
    <w:p>
      <w:pPr>
        <w:pStyle w:val="T1"/>
        <w:jc w:val="start"/>
        <w:rPr>
          <w:lang w:val="nl-NL"/>
        </w:rPr>
      </w:pPr>
      <w:r>
        <w:rPr>
          <w:lang w:val="nl-NL"/>
        </w:rPr>
        <w:t>Kas: 1901</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Voor het orgel in Blokzijl kozen de orgelmakers Bakker en Timmenga voor de tweede maal dit kenmerkende front uit het Friese ontwerp-arsenaal. Ooit geïntroduceerd door de orgelmakers Van Dam rond 1865, heeft het 40 jaar lang toepassing gevonden in het werk van vier verschillende Friese orgelmakers.</w:t>
      </w:r>
    </w:p>
    <w:p>
      <w:pPr>
        <w:pStyle w:val="T2Kunst"/>
        <w:jc w:val="start"/>
        <w:rPr>
          <w:lang w:val="nl-NL"/>
        </w:rPr>
      </w:pPr>
      <w:r>
        <w:rPr>
          <w:lang w:val="nl-NL"/>
        </w:rPr>
        <w:t>Bakker en Timmenga hebben zich waarschijnlijk gebaseerd op de Hardorff-variaties. De vrij lange voetmaat van de ongedeelde velden wijst daarop. Maar het was juist Hardorff die heel vrij omging met het aantal pijpen in de torens. Dit aantal bedroeg bij Van Dam stelselmatig vijf en bij Hardorff vooral in de zijtorens meermalen zeven om meer ruimte te scheppen.</w:t>
      </w:r>
    </w:p>
    <w:p>
      <w:pPr>
        <w:pStyle w:val="T2Kunst"/>
        <w:jc w:val="start"/>
        <w:rPr>
          <w:lang w:val="nl-NL"/>
        </w:rPr>
      </w:pPr>
      <w:r>
        <w:rPr>
          <w:lang w:val="nl-NL"/>
        </w:rPr>
        <w:t>Bakker en Timmenga houden daarentegen vast aan het voor dit front karakteristieke aantal van vijf pijpen. Alleen het aantal pijpen in de ongedeelde velden werd in Rinsumageest (1892, deel 1886-1894, 276-278) iets vergroot, mogelijk in verband met de aanwezigheid van het zelfstandig pedaal aldaar.</w:t>
      </w:r>
    </w:p>
    <w:p>
      <w:pPr>
        <w:pStyle w:val="T2Kunst"/>
        <w:jc w:val="start"/>
        <w:rPr>
          <w:lang w:val="nl-NL"/>
        </w:rPr>
      </w:pPr>
      <w:r>
        <w:rPr>
          <w:lang w:val="nl-NL"/>
        </w:rPr>
        <w:t>In Blokzijl is dit aantal weer teruggebracht tot zes pijpen. Verder herhaalt het front de opzet van Rinsumageest vrijwel getrouw: vier pijpen in de vlak uitgevoerde smalle velden naast de middentoren, lange voeten bij de verhoogd opgestelde ongedeelde velden, die hier in afwijking van het front van Rinsumageest ook vlak uitgevoerd zijn. Het front oogt daardoor stijver dan dat van Rinsumageest.</w:t>
      </w:r>
    </w:p>
    <w:p>
      <w:pPr>
        <w:pStyle w:val="T2Kunst"/>
        <w:jc w:val="start"/>
        <w:rPr>
          <w:lang w:val="nl-NL"/>
        </w:rPr>
      </w:pPr>
      <w:r>
        <w:rPr>
          <w:lang w:val="nl-NL"/>
        </w:rPr>
        <w:t>Van de ornamentiek kan dat zeker niet gezegd worden. Vooral in de drie torens zijn de blinderingen op gebruikelijke wijze samengesteld uit voluten en plantaardige motieven, levendig van uitvoering. Het centrale koppelmotief is een horizontaal element dat flink over het lijstwerk van de kappen omhoog steekt. Ook bij de smalle veldjes is, hoewel summier, gebruik gemaakt van de voluutvorm. Tegen de sierlijk gebogen afsluitende lijst van de ongedeelde velden zijn alleen bladranken aangebracht, met aan beide uiteinden een klein ornament boven de lijst.</w:t>
      </w:r>
    </w:p>
    <w:p>
      <w:pPr>
        <w:pStyle w:val="T2Kunst"/>
        <w:jc w:val="start"/>
        <w:rPr>
          <w:lang w:val="nl-NL"/>
        </w:rPr>
      </w:pPr>
      <w:r>
        <w:rPr>
          <w:lang w:val="nl-NL"/>
        </w:rPr>
        <w:t>Paneelwerk met diamantkoppen is toegepast onder de ongedeelde velden en tussen de smalle gedeelde velden in.</w:t>
      </w:r>
    </w:p>
    <w:p>
      <w:pPr>
        <w:pStyle w:val="T2Kunst"/>
        <w:jc w:val="start"/>
        <w:rPr>
          <w:lang w:val="nl-NL"/>
        </w:rPr>
      </w:pPr>
      <w:r>
        <w:rPr>
          <w:lang w:val="nl-NL"/>
        </w:rPr>
        <w:t>De opzetstukken bestaan wederom uit voluten, waarbinnen takken met bloemen. Op de zijtorens is de compositie karig te noemen, in het midden klimt een enkele bladrank ter afsluiting omhoog. Op de middentoren is alles wat weelderiger en vormt een lier de bekroning.</w:t>
      </w:r>
    </w:p>
    <w:p>
      <w:pPr>
        <w:pStyle w:val="T2Kunst"/>
        <w:jc w:val="start"/>
        <w:rPr>
          <w:lang w:val="nl-NL"/>
        </w:rPr>
      </w:pPr>
      <w:r>
        <w:rPr>
          <w:lang w:val="nl-NL"/>
        </w:rPr>
        <w:t>In de vleugels is de bekende compositie van S-voluut, groter wordende C-voluten te zien met in het hart een wijnrank met druiventros en een vogeltje en in de overblijvende sectoren afhangende bladranken.</w:t>
      </w:r>
    </w:p>
    <w:p>
      <w:pPr>
        <w:pStyle w:val="T2Kunst"/>
        <w:jc w:val="start"/>
        <w:rPr/>
      </w:pPr>
      <w:r>
        <w:rPr>
          <w:lang w:val="nl-NL"/>
        </w:rPr>
        <w:t xml:space="preserve">De </w:t>
      </w:r>
      <w:r>
        <w:rPr>
          <w:i/>
          <w:iCs/>
          <w:lang w:val="nl-NL"/>
        </w:rPr>
        <w:t>culs-de-lampe</w:t>
      </w:r>
      <w:r>
        <w:rPr>
          <w:lang w:val="nl-NL"/>
        </w:rPr>
        <w:t xml:space="preserve"> bestaan uit omgekruld blad. Merkwaardig is dat, in afwijking van de traditie in de onderkas een gebost paneel onder de smalle gedeelde veldjes ontbreekt.</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lang w:val="nl-NL"/>
        </w:rPr>
        <w:t>Het Orgel</w:t>
      </w:r>
      <w:r>
        <w:rPr>
          <w:lang w:val="nl-NL"/>
        </w:rPr>
        <w:t>, 63/9 (1967), 219.</w:t>
      </w:r>
    </w:p>
    <w:p>
      <w:pPr>
        <w:pStyle w:val="T3Lit"/>
        <w:rPr/>
      </w:pPr>
      <w:r>
        <w:rPr>
          <w:i/>
          <w:iCs/>
          <w:lang w:val="nl-NL"/>
        </w:rPr>
        <w:t>De Orgelvriend</w:t>
      </w:r>
      <w:r>
        <w:rPr>
          <w:lang w:val="nl-NL"/>
        </w:rPr>
        <w:t>, 13/2 (1971), 10.</w:t>
      </w:r>
    </w:p>
    <w:p>
      <w:pPr>
        <w:pStyle w:val="T3Lit"/>
        <w:rPr/>
      </w:pPr>
      <w:r>
        <w:rPr>
          <w:lang w:val="nl-NL"/>
        </w:rPr>
        <w:t xml:space="preserve">Maarten Seijbel en Aart Veltman, </w:t>
      </w:r>
      <w:r>
        <w:rPr>
          <w:i/>
          <w:iCs/>
          <w:lang w:val="nl-NL"/>
        </w:rPr>
        <w:t>Orgels rond het IJsselmeer.</w:t>
      </w:r>
      <w:r>
        <w:rPr>
          <w:lang w:val="nl-NL"/>
        </w:rPr>
        <w:t xml:space="preserve"> Houten, 1984, 28-30.</w:t>
      </w:r>
    </w:p>
    <w:p>
      <w:pPr>
        <w:pStyle w:val="T3Lit"/>
        <w:rPr>
          <w:lang w:val="nl-NL"/>
        </w:rPr>
      </w:pPr>
      <w:r>
        <w:rPr>
          <w:lang w:val="nl-NL"/>
        </w:rPr>
      </w:r>
    </w:p>
    <w:p>
      <w:pPr>
        <w:pStyle w:val="T3Lit"/>
        <w:rPr>
          <w:lang w:val="nl-NL"/>
        </w:rPr>
      </w:pPr>
      <w:r>
        <w:rPr>
          <w:lang w:val="nl-NL"/>
        </w:rPr>
        <w:t>Monumentnummer 10448</w:t>
      </w:r>
    </w:p>
    <w:p>
      <w:pPr>
        <w:pStyle w:val="T3Lit"/>
        <w:rPr>
          <w:lang w:val="nl-NL"/>
        </w:rPr>
      </w:pPr>
      <w:r>
        <w:rPr>
          <w:lang w:val="nl-NL"/>
        </w:rPr>
        <w:t>Orgelnummer 192</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1901</w:t>
      </w:r>
    </w:p>
    <w:p>
      <w:pPr>
        <w:pStyle w:val="T1"/>
        <w:jc w:val="start"/>
        <w:rPr>
          <w:lang w:val="nl-NL"/>
        </w:rPr>
      </w:pPr>
      <w:r>
        <w:rPr>
          <w:lang w:val="nl-NL"/>
        </w:rPr>
      </w:r>
    </w:p>
    <w:p>
      <w:pPr>
        <w:pStyle w:val="T1"/>
        <w:jc w:val="start"/>
        <w:rPr>
          <w:lang w:val="nl-NL"/>
        </w:rPr>
      </w:pPr>
      <w:r>
        <w:rPr>
          <w:lang w:val="nl-NL"/>
        </w:rPr>
        <w:t>Orgelmakerij Bakker &amp; Timmenga 1968</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dispositie gewijzigd</w:t>
      </w:r>
    </w:p>
    <w:p>
      <w:pPr>
        <w:pStyle w:val="T1"/>
        <w:jc w:val="start"/>
        <w:rPr>
          <w:lang w:val="nl-NL"/>
        </w:rPr>
      </w:pPr>
      <w:r>
        <w:rPr>
          <w:lang w:val="nl-NL"/>
        </w:rPr>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5650" w:type="dxa"/>
        <w:jc w:val="start"/>
        <w:tblInd w:w="-70" w:type="dxa"/>
        <w:tblLayout w:type="fixed"/>
        <w:tblCellMar>
          <w:top w:w="0" w:type="dxa"/>
          <w:start w:w="70" w:type="dxa"/>
          <w:bottom w:w="0" w:type="dxa"/>
          <w:end w:w="70" w:type="dxa"/>
        </w:tblCellMar>
      </w:tblPr>
      <w:tblGrid>
        <w:gridCol w:w="1330"/>
        <w:gridCol w:w="720"/>
        <w:gridCol w:w="1440"/>
        <w:gridCol w:w="540"/>
        <w:gridCol w:w="1080"/>
        <w:gridCol w:w="54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 B/D</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en-GB"/>
              </w:rPr>
            </w:pPr>
            <w:r>
              <w:rPr>
                <w:lang w:val="en-GB"/>
              </w:rPr>
              <w:t>16'</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4'</w:t>
            </w:r>
          </w:p>
          <w:p>
            <w:pPr>
              <w:pStyle w:val="T4dispositie"/>
              <w:rPr>
                <w:lang w:val="en-GB"/>
              </w:rPr>
            </w:pPr>
            <w:r>
              <w:rPr>
                <w:lang w:val="en-GB"/>
              </w:rPr>
              <w:t>2'</w:t>
            </w:r>
          </w:p>
          <w:p>
            <w:pPr>
              <w:pStyle w:val="T4dispositie"/>
              <w:rPr>
                <w:lang w:val="en-GB"/>
              </w:rPr>
            </w:pPr>
            <w:r>
              <w:rPr>
                <w:lang w:val="en-GB"/>
              </w:rPr>
              <w:t>3-4 st.</w:t>
            </w:r>
          </w:p>
          <w:p>
            <w:pPr>
              <w:pStyle w:val="T4dispositie"/>
              <w:rPr>
                <w:lang w:val="en-GB"/>
              </w:rPr>
            </w:pPr>
            <w:r>
              <w:rPr>
                <w:lang w:val="en-GB"/>
              </w:rPr>
              <w:t>8'</w:t>
            </w:r>
          </w:p>
        </w:tc>
        <w:tc>
          <w:tcPr>
            <w:tcW w:w="1440" w:type="dxa"/>
            <w:tcBorders/>
          </w:tcPr>
          <w:p>
            <w:pPr>
              <w:pStyle w:val="T4dispositie"/>
              <w:rPr>
                <w:i/>
                <w:i/>
                <w:lang w:val="en-GB"/>
              </w:rPr>
            </w:pPr>
            <w:r>
              <w:rPr>
                <w:i/>
                <w:lang w:val="en-GB"/>
              </w:rPr>
              <w:t>Nevenwerk (II)</w:t>
            </w:r>
          </w:p>
          <w:p>
            <w:pPr>
              <w:pStyle w:val="T4dispositie"/>
              <w:rPr>
                <w:lang w:val="en-GB"/>
              </w:rPr>
            </w:pPr>
            <w:r>
              <w:rPr>
                <w:lang w:val="en-GB"/>
              </w:rPr>
              <w:t>4 stemmen</w:t>
            </w:r>
          </w:p>
          <w:p>
            <w:pPr>
              <w:pStyle w:val="T4dispositie"/>
              <w:rPr>
                <w:lang w:val="en-GB"/>
              </w:rPr>
            </w:pPr>
            <w:r>
              <w:rPr>
                <w:lang w:val="en-GB"/>
              </w:rPr>
            </w:r>
          </w:p>
          <w:p>
            <w:pPr>
              <w:pStyle w:val="T4dispositie"/>
              <w:rPr>
                <w:lang w:val="en-GB"/>
              </w:rPr>
            </w:pPr>
            <w:r>
              <w:rPr>
                <w:lang w:val="en-GB"/>
              </w:rPr>
              <w:t>Bourdon</w:t>
            </w:r>
          </w:p>
          <w:p>
            <w:pPr>
              <w:pStyle w:val="T4dispositie"/>
              <w:rPr>
                <w:lang w:val="en-GB"/>
              </w:rPr>
            </w:pPr>
            <w:r>
              <w:rPr>
                <w:lang w:val="en-GB"/>
              </w:rPr>
              <w:t>Viola</w:t>
            </w:r>
          </w:p>
          <w:p>
            <w:pPr>
              <w:pStyle w:val="T4dispositie"/>
              <w:rPr>
                <w:lang w:val="fr-FR"/>
              </w:rPr>
            </w:pPr>
            <w:r>
              <w:rPr>
                <w:lang w:val="fr-FR"/>
              </w:rPr>
              <w:t>Roerfluit</w:t>
            </w:r>
          </w:p>
          <w:p>
            <w:pPr>
              <w:pStyle w:val="T4dispositie"/>
              <w:rPr>
                <w:lang w:val="fr-FR"/>
              </w:rPr>
            </w:pPr>
            <w:r>
              <w:rPr>
                <w:lang w:val="fr-FR"/>
              </w:rPr>
              <w:t>Sesquialter D</w:t>
            </w:r>
          </w:p>
        </w:tc>
        <w:tc>
          <w:tcPr>
            <w:tcW w:w="540" w:type="dxa"/>
            <w:tcBorders/>
          </w:tcPr>
          <w:p>
            <w:pPr>
              <w:pStyle w:val="T4dispositie"/>
              <w:snapToGrid w:val="false"/>
              <w:rPr>
                <w:lang w:val="fr-FR"/>
              </w:rPr>
            </w:pPr>
            <w:r>
              <w:rPr>
                <w:lang w:val="fr-FR"/>
              </w:rPr>
            </w:r>
          </w:p>
          <w:p>
            <w:pPr>
              <w:pStyle w:val="T4dispositie"/>
              <w:rPr>
                <w:lang w:val="fr-FR"/>
              </w:rPr>
            </w:pPr>
            <w:r>
              <w:rPr>
                <w:lang w:val="fr-FR"/>
              </w:rPr>
            </w:r>
          </w:p>
          <w:p>
            <w:pPr>
              <w:pStyle w:val="T4dispositie"/>
              <w:rPr>
                <w:lang w:val="fr-FR"/>
              </w:rPr>
            </w:pPr>
            <w:r>
              <w:rPr>
                <w:lang w:val="fr-FR"/>
              </w:rPr>
            </w:r>
          </w:p>
          <w:p>
            <w:pPr>
              <w:pStyle w:val="T4dispositie"/>
              <w:rPr>
                <w:lang w:val="fr-FR"/>
              </w:rPr>
            </w:pPr>
            <w:r>
              <w:rPr>
                <w:lang w:val="fr-FR"/>
              </w:rPr>
              <w:t>8'</w:t>
            </w:r>
          </w:p>
          <w:p>
            <w:pPr>
              <w:pStyle w:val="T4dispositie"/>
              <w:rPr>
                <w:lang w:val="fr-FR"/>
              </w:rPr>
            </w:pPr>
            <w:r>
              <w:rPr>
                <w:lang w:val="fr-FR"/>
              </w:rPr>
              <w:t>8'</w:t>
            </w:r>
          </w:p>
          <w:p>
            <w:pPr>
              <w:pStyle w:val="T4dispositie"/>
              <w:rPr>
                <w:lang w:val="fr-FR"/>
              </w:rPr>
            </w:pPr>
            <w:r>
              <w:rPr>
                <w:lang w:val="fr-FR"/>
              </w:rPr>
              <w:t>4'</w:t>
            </w:r>
          </w:p>
          <w:p>
            <w:pPr>
              <w:pStyle w:val="T4dispositie"/>
              <w:rPr>
                <w:lang w:val="fr-FR"/>
              </w:rPr>
            </w:pPr>
            <w:r>
              <w:rPr>
                <w:lang w:val="fr-FR"/>
              </w:rPr>
              <w:t>2 st.</w:t>
            </w:r>
          </w:p>
        </w:tc>
        <w:tc>
          <w:tcPr>
            <w:tcW w:w="1080" w:type="dxa"/>
            <w:tcBorders/>
          </w:tcPr>
          <w:p>
            <w:pPr>
              <w:pStyle w:val="T4dispositie"/>
              <w:rPr>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Bourdon</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HW-NW, Ped-HW, Ped-NW</w:t>
      </w:r>
    </w:p>
    <w:p>
      <w:pPr>
        <w:pStyle w:val="Normal"/>
        <w:rPr>
          <w:rFonts w:ascii="Times New Roman" w:hAnsi="Times New Roman" w:cs="Times New Roman"/>
          <w:szCs w:val="24"/>
        </w:rPr>
      </w:pPr>
      <w:r>
        <w:rPr>
          <w:rFonts w:cs="Times New Roman" w:ascii="Times New Roman" w:hAnsi="Times New Roman"/>
          <w:szCs w:val="24"/>
        </w:rPr>
        <w:t>tremulant</w:t>
      </w:r>
    </w:p>
    <w:p>
      <w:pPr>
        <w:pStyle w:val="Normal"/>
        <w:rPr>
          <w:rFonts w:ascii="Times New Roman" w:hAnsi="Times New Roman" w:cs="Times New Roman"/>
          <w:szCs w:val="24"/>
        </w:rPr>
      </w:pPr>
      <w:r>
        <w:rPr>
          <w:rFonts w:cs="Times New Roman" w:ascii="Times New Roman" w:hAnsi="Times New Roman"/>
          <w:szCs w:val="24"/>
        </w:rPr>
        <w:t>ventiel</w:t>
      </w:r>
    </w:p>
    <w:p>
      <w:pPr>
        <w:pStyle w:val="Normal"/>
        <w:rPr>
          <w:rFonts w:ascii="Times New Roman" w:hAnsi="Times New Roman" w:cs="Times New Roman"/>
          <w:szCs w:val="24"/>
        </w:rPr>
      </w:pPr>
      <w:r>
        <w:rPr>
          <w:rFonts w:cs="Times New Roman" w:ascii="Times New Roman" w:hAnsi="Times New Roman"/>
          <w:szCs w:val="24"/>
        </w:rPr>
      </w:r>
    </w:p>
    <w:p>
      <w:pPr>
        <w:pStyle w:val="Normal"/>
        <w:rPr/>
      </w:pPr>
      <w:r>
        <w:rPr/>
        <w:t>Samenstelling vulstemmen</w:t>
      </w:r>
    </w:p>
    <w:tbl>
      <w:tblPr>
        <w:tblW w:w="4462" w:type="dxa"/>
        <w:jc w:val="start"/>
        <w:tblInd w:w="-70" w:type="dxa"/>
        <w:tblLayout w:type="fixed"/>
        <w:tblCellMar>
          <w:top w:w="0" w:type="dxa"/>
          <w:start w:w="70" w:type="dxa"/>
          <w:bottom w:w="0" w:type="dxa"/>
          <w:end w:w="70" w:type="dxa"/>
        </w:tblCellMar>
      </w:tblPr>
      <w:tblGrid>
        <w:gridCol w:w="1507"/>
        <w:gridCol w:w="736"/>
        <w:gridCol w:w="736"/>
        <w:gridCol w:w="747"/>
        <w:gridCol w:w="736"/>
      </w:tblGrid>
      <w:tr>
        <w:trPr/>
        <w:tc>
          <w:tcPr>
            <w:tcW w:w="1507" w:type="dxa"/>
            <w:tcBorders/>
          </w:tcPr>
          <w:p>
            <w:pPr>
              <w:pStyle w:val="Normal"/>
              <w:rPr>
                <w:rFonts w:ascii="Times New Roman" w:hAnsi="Times New Roman" w:cs="Times New Roman"/>
                <w:szCs w:val="24"/>
                <w:lang w:val="en-GB"/>
              </w:rPr>
            </w:pPr>
            <w:r>
              <w:rPr>
                <w:rFonts w:cs="Times New Roman" w:ascii="Times New Roman" w:hAnsi="Times New Roman"/>
                <w:szCs w:val="24"/>
                <w:lang w:val="en-GB"/>
              </w:rPr>
              <w:t>Mixtuur HW</w:t>
            </w:r>
          </w:p>
        </w:tc>
        <w:tc>
          <w:tcPr>
            <w:tcW w:w="736"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36" w:type="dxa"/>
            <w:tcBorders/>
          </w:tcPr>
          <w:p>
            <w:pPr>
              <w:pStyle w:val="T4dispositie"/>
              <w:rPr/>
            </w:pPr>
            <w:r>
              <w:rPr/>
              <w:t>g</w:t>
            </w:r>
          </w:p>
          <w:p>
            <w:pPr>
              <w:pStyle w:val="T4dispositie"/>
              <w:rPr/>
            </w:pPr>
            <w:r>
              <w:rPr/>
              <w:t>2 2/3</w:t>
            </w:r>
          </w:p>
          <w:p>
            <w:pPr>
              <w:pStyle w:val="T4dispositie"/>
              <w:rPr/>
            </w:pPr>
            <w:r>
              <w:rPr/>
              <w:t>2</w:t>
            </w:r>
          </w:p>
          <w:p>
            <w:pPr>
              <w:pStyle w:val="T4dispositie"/>
              <w:rPr/>
            </w:pPr>
            <w:r>
              <w:rPr/>
              <w:t>1 1/3</w:t>
            </w:r>
          </w:p>
          <w:p>
            <w:pPr>
              <w:pStyle w:val="T4dispositie"/>
              <w:rPr/>
            </w:pPr>
            <w:r>
              <w:rPr/>
              <w:t>1</w:t>
            </w:r>
          </w:p>
        </w:tc>
        <w:tc>
          <w:tcPr>
            <w:tcW w:w="747" w:type="dxa"/>
            <w:tcBorders/>
          </w:tcPr>
          <w:p>
            <w:pPr>
              <w:pStyle w:val="T4dispositie"/>
              <w:rPr/>
            </w:pPr>
            <w:r>
              <w:rPr/>
              <w:t>g</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1 1/3</w:t>
            </w:r>
          </w:p>
        </w:tc>
        <w:tc>
          <w:tcPr>
            <w:tcW w:w="736" w:type="dxa"/>
            <w:tcBorders/>
          </w:tcPr>
          <w:p>
            <w:pPr>
              <w:pStyle w:val="T4dispositie"/>
              <w:rPr/>
            </w:pPr>
            <w:r>
              <w:rPr/>
              <w:t>g</w:t>
            </w:r>
            <w:r>
              <w:rPr>
                <w:vertAlign w:val="superscript"/>
              </w:rPr>
              <w:t>2</w:t>
            </w:r>
          </w:p>
          <w:p>
            <w:pPr>
              <w:pStyle w:val="T4dispositie"/>
              <w:rPr/>
            </w:pPr>
            <w:r>
              <w:rPr/>
              <w:t>5 1/3</w:t>
            </w:r>
          </w:p>
          <w:p>
            <w:pPr>
              <w:pStyle w:val="T4dispositie"/>
              <w:rPr/>
            </w:pPr>
            <w:r>
              <w:rPr/>
              <w:t>4</w:t>
            </w:r>
          </w:p>
          <w:p>
            <w:pPr>
              <w:pStyle w:val="T4dispositie"/>
              <w:rPr/>
            </w:pPr>
            <w:r>
              <w:rPr/>
              <w:t>2 2/3</w:t>
            </w:r>
          </w:p>
          <w:p>
            <w:pPr>
              <w:pStyle w:val="T4dispositie"/>
              <w:rPr/>
            </w:pPr>
            <w:r>
              <w:rPr/>
              <w:t>2</w:t>
            </w:r>
          </w:p>
        </w:tc>
      </w:tr>
    </w:tbl>
    <w:p>
      <w:pPr>
        <w:pStyle w:val="Normal"/>
        <w:rPr>
          <w:rFonts w:ascii="Times New Roman" w:hAnsi="Times New Roman" w:cs="Times New Roman"/>
          <w:szCs w:val="24"/>
          <w:lang w:val="en-GB"/>
        </w:rPr>
      </w:pPr>
      <w:r>
        <w:rPr>
          <w:rFonts w:cs="Times New Roman" w:ascii="Times New Roman" w:hAnsi="Times New Roman"/>
          <w:szCs w:val="24"/>
          <w:lang w:val="en-GB"/>
        </w:rPr>
      </w:r>
    </w:p>
    <w:p>
      <w:pPr>
        <w:pStyle w:val="Normal"/>
        <w:rPr>
          <w:rFonts w:ascii="Times New Roman" w:hAnsi="Times New Roman" w:cs="Times New Roman"/>
          <w:szCs w:val="24"/>
          <w:lang w:val="en-GB"/>
        </w:rPr>
      </w:pPr>
      <w:r>
        <w:rPr>
          <w:rFonts w:cs="Times New Roman" w:ascii="Times New Roman" w:hAnsi="Times New Roman"/>
          <w:szCs w:val="24"/>
          <w:lang w:val="en-GB"/>
        </w:rPr>
        <w:t xml:space="preserve">Sesquialter NW   </w:t>
      </w:r>
      <w:r>
        <w:rPr>
          <w:rFonts w:cs="Times New Roman" w:ascii="Times New Roman" w:hAnsi="Times New Roman"/>
          <w:spacing w:val="-3"/>
          <w:sz w:val="20"/>
          <w:lang w:val="en-GB"/>
        </w:rPr>
        <w:t>a   2 2/3 - 1 3/5</w:t>
      </w:r>
    </w:p>
    <w:p>
      <w:pPr>
        <w:pStyle w:val="Normal"/>
        <w:rPr>
          <w:rFonts w:ascii="Times New Roman" w:hAnsi="Times New Roman" w:cs="Times New Roman"/>
          <w:szCs w:val="24"/>
          <w:lang w:val="en-GB"/>
        </w:rPr>
      </w:pPr>
      <w:r>
        <w:rPr>
          <w:rFonts w:cs="Times New Roman" w:ascii="Times New Roman" w:hAnsi="Times New Roman"/>
          <w:szCs w:val="24"/>
          <w:lang w:val="en-GB"/>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433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met twee schepbalgen en trapinstallatie (1901)</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86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rechterzijde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De orgelkas is van grenen. De windvoorziening bevindt zich in de onderkas. De magazijnbalg heeft twee inspringende vouwen. De balgen worden getreden aan de achterzijde van de kas; ook een windzicht is nog aanwezig.</w:t>
      </w:r>
    </w:p>
    <w:p>
      <w:pPr>
        <w:pStyle w:val="T1"/>
        <w:jc w:val="start"/>
        <w:rPr>
          <w:lang w:val="nl-NL"/>
        </w:rPr>
      </w:pPr>
      <w:r>
        <w:rPr>
          <w:lang w:val="nl-NL"/>
        </w:rPr>
        <w:t>De ondertoetsen van de handklavieren zijn belegd met ivoor, de boventoetsen zijn van ebben. De registerknoppen (boven de lessenaar in sleepvolgorde) hebben porseleinen naamplaatjes. Het pedaalklavier is van eiken. Toets- en registertractuur zijn mechanisch. De Bourdon 16' HW wordt deels pneumatisch geregeerd.</w:t>
      </w:r>
    </w:p>
    <w:p>
      <w:pPr>
        <w:pStyle w:val="T1"/>
        <w:jc w:val="start"/>
        <w:rPr>
          <w:lang w:val="nl-NL"/>
        </w:rPr>
      </w:pPr>
      <w:r>
        <w:rPr>
          <w:lang w:val="nl-NL"/>
        </w:rPr>
        <w:t>In het front spreken de grootste pijp van de linkertoren en alle pijpen van de midden- en rechtertoren, de ongedeelde middenvelden en de onderste etages van de gedeelde middenvelden. De bovenste etages van de gedeelde middenvelden zijn stom.</w:t>
      </w:r>
    </w:p>
    <w:p>
      <w:pPr>
        <w:pStyle w:val="T1"/>
        <w:jc w:val="start"/>
        <w:rPr/>
      </w:pPr>
      <w:r>
        <w:rPr>
          <w:lang w:val="nl-NL"/>
        </w:rPr>
        <w:t>Direct achter het front ligt de lade van het HW, verdeeld in C- en Ciskant met de Ciskant aan de klaviatuurzijde. De indeling is in hele tonen van buiten naar binnen aflopend. Achter de lade van het HW bevindt zich een stemgang met daarachter, op dezelfde hoogte, de lade voor het NW. Ook deze lade is verdeeld in C- en Ciskant maar ingedeeld in hele tonen vanuit het midden naar weerszijden aflopend. Rechts in de kas ligt haaks op het front een kegellade met pneumatische tractuur voor de Subbas/Bourdon (C-d</w:t>
      </w:r>
      <w:r>
        <w:rPr>
          <w:vertAlign w:val="superscript"/>
          <w:lang w:val="nl-NL"/>
        </w:rPr>
        <w:t>1</w:t>
      </w:r>
      <w:r>
        <w:rPr>
          <w:lang w:val="nl-NL"/>
        </w:rPr>
        <w:t>) met een aparte pijpstok voor de afgevoerde kleinste pijpen. De grootste pijpen staan direct achter het front; de cancelvolgorde is chromatisch.</w:t>
      </w:r>
    </w:p>
    <w:p>
      <w:pPr>
        <w:pStyle w:val="T1"/>
        <w:jc w:val="start"/>
        <w:rPr/>
      </w:pPr>
      <w:r>
        <w:rPr>
          <w:lang w:val="nl-NL"/>
        </w:rPr>
        <w:t>De Prestant 8' staat van C-fis</w:t>
      </w:r>
      <w:r>
        <w:rPr>
          <w:vertAlign w:val="superscript"/>
          <w:lang w:val="nl-NL"/>
        </w:rPr>
        <w:t>1</w:t>
      </w:r>
      <w:r>
        <w:rPr>
          <w:lang w:val="nl-NL"/>
        </w:rPr>
        <w:t xml:space="preserve"> in het front, het vervolg staat op de lade. Alle pijpen hebben expressions. C-d</w:t>
      </w:r>
      <w:r>
        <w:rPr>
          <w:vertAlign w:val="superscript"/>
          <w:lang w:val="nl-NL"/>
        </w:rPr>
        <w:t>1</w:t>
      </w:r>
      <w:r>
        <w:rPr>
          <w:lang w:val="nl-NL"/>
        </w:rPr>
        <w:t xml:space="preserve"> van de Bourdon 16' staan op een aparte pneumatische lade, het vervolg staat op de HW-lade. C-H van de Holpijp 8' zijn van hout (gedekt) en van de lade afgevoerd, het vervolg is van metaal, gedekt. De Octaaf 4' is van metaal en heeft expressions van C-d</w:t>
      </w:r>
      <w:r>
        <w:rPr>
          <w:vertAlign w:val="superscript"/>
          <w:lang w:val="nl-NL"/>
        </w:rPr>
        <w:t>2</w:t>
      </w:r>
      <w:r>
        <w:rPr>
          <w:lang w:val="nl-NL"/>
        </w:rPr>
        <w:t>, het vervolg is op lengte afgesneden. Bij de Octaaf 2' zijn expressions aanwezig van C-d</w:t>
      </w:r>
      <w:r>
        <w:rPr>
          <w:vertAlign w:val="superscript"/>
          <w:lang w:val="nl-NL"/>
        </w:rPr>
        <w:t>1</w:t>
      </w:r>
      <w:r>
        <w:rPr>
          <w:lang w:val="nl-NL"/>
        </w:rPr>
        <w:t xml:space="preserve">. De Mixtuur is eveneens gedeeltelijk voorzien van expressions en verder op lengte afgesneden. De Trompet B/D 8' is van metaal; de stevels hebben messing banden. De zes hoogste pijpen hebben stevels en bekers met dubbele lengte. </w:t>
      </w:r>
    </w:p>
    <w:p>
      <w:pPr>
        <w:pStyle w:val="T1"/>
        <w:jc w:val="start"/>
        <w:rPr/>
      </w:pPr>
      <w:r>
        <w:rPr>
          <w:lang w:val="nl-NL"/>
        </w:rPr>
        <w:t xml:space="preserve">C-H van de Bourdon 8' (NW) zijn van hout (gedekt) en deels van de lade afgevoerd. </w:t>
      </w:r>
      <w:r>
        <w:rPr/>
        <w:t xml:space="preserve">Het vervolg is van metaal (gedekt). </w:t>
      </w:r>
      <w:r>
        <w:rPr>
          <w:lang w:val="nl-NL"/>
        </w:rPr>
        <w:t>De Viola 8' is van C-H gecombineerd met de Bourdon, het vervolg is van metaal met expressions; C-h</w:t>
      </w:r>
      <w:r>
        <w:rPr>
          <w:vertAlign w:val="superscript"/>
          <w:lang w:val="nl-NL"/>
        </w:rPr>
        <w:t>1</w:t>
      </w:r>
      <w:r>
        <w:rPr>
          <w:lang w:val="nl-NL"/>
        </w:rPr>
        <w:t xml:space="preserve"> hebben snijbaarden, de overige pijpen alleen zijbaarden. Het hoogste octaaf van de Roerfluit 4' is open, conisch. Het pijpwerk van de Sexquialter 2 st. is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ages>4</Pages>
  <Words>844</Words>
  <Characters>4451</Characters>
  <CharactersWithSpaces>5196</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2008-05-05T14:11:00Z</dcterms:created>
  <dc:creator>WS1</dc:creator>
  <dc:description/>
  <dc:language>en-US</dc:language>
  <cp:lastModifiedBy>NIvO</cp:lastModifiedBy>
  <dcterms:modified xsi:type="dcterms:W3CDTF">2008-06-24T15:12:00Z</dcterms:modified>
  <cp:revision>3</cp:revision>
  <dc:subject/>
  <dc:title>Olst / 1880</dc:title>
</cp:coreProperties>
</file>