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Burgerbrug / 1901</w:t>
      </w:r>
    </w:p>
    <w:p>
      <w:pPr>
        <w:pStyle w:val="Heading2"/>
        <w:rPr>
          <w:i w:val="false"/>
          <w:i w:val="false"/>
          <w:iCs/>
        </w:rPr>
      </w:pPr>
      <w:r>
        <w:rPr>
          <w:i w:val="false"/>
          <w:iCs/>
        </w:rPr>
        <w:t>R.K. Kerk Onze Lieve Vrouwe Geboorte</w:t>
      </w:r>
    </w:p>
    <w:p>
      <w:pPr>
        <w:pStyle w:val="T1"/>
        <w:jc w:val="start"/>
        <w:rPr>
          <w:i/>
          <w:i/>
          <w:iCs/>
          <w:lang w:val="nl-NL"/>
        </w:rPr>
      </w:pPr>
      <w:r>
        <w:rPr>
          <w:i/>
          <w:iCs/>
          <w:lang w:val="nl-NL"/>
        </w:rPr>
      </w:r>
    </w:p>
    <w:p>
      <w:pPr>
        <w:pStyle w:val="T1"/>
        <w:jc w:val="start"/>
        <w:rPr>
          <w:i/>
          <w:i/>
          <w:iCs/>
          <w:lang w:val="nl-NL"/>
        </w:rPr>
      </w:pPr>
      <w:r>
        <w:rPr>
          <w:i/>
          <w:iCs/>
          <w:lang w:val="nl-NL"/>
        </w:rPr>
        <w:t>Driezijdig gesloten zaalkerk met half ingebouwde geveltoren uit 1866 naar ontwerp van Th. Molkenboer.</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neoclassicistische variant van een driedelige blokvormige kas met rondbogen. Fraai is hoe de drie velden bogen van gelijke maatvoering hebben, maar dat de bogen van de zijvelden weer in twee nieuwe bogen doorlopen; en ook hoe de tussenruimten zijn gevuld met cirkels en driehoeken, motieven die ook in de hoeken boven de drie grote bogen van het ontwerp terugkomen, zij het in iets andere verhoudingen. </w:t>
      </w:r>
      <w:r>
        <w:rPr/>
        <w:t>Boven op het middenveld staat een gebroken fronton met een kruis in plaats van de wel gebruikelijke obelisk. Enigszins onbeholpen voluutvormen markeren de overgang van het hoge middendeel naar de lagere zijdelen van het front.</w:t>
      </w:r>
    </w:p>
    <w:p>
      <w:pPr>
        <w:pStyle w:val="T2Kunst"/>
        <w:jc w:val="start"/>
        <w:rPr>
          <w:rFonts w:ascii="CG Times;Times New Roman" w:hAnsi="CG Times;Times New Roman" w:cs="CG Times;Times New Roman"/>
          <w:szCs w:val="24"/>
        </w:rPr>
      </w:pPr>
      <w:r>
        <w:rPr>
          <w:rFonts w:cs="CG Times;Times New Roman" w:ascii="CG Times;Times New Roman" w:hAnsi="CG Times;Times New Roman"/>
          <w:szCs w:val="24"/>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Ypma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Holpijp</w:t>
            </w:r>
          </w:p>
          <w:p>
            <w:pPr>
              <w:pStyle w:val="T4dispositie"/>
              <w:jc w:val="start"/>
              <w:rPr>
                <w:lang w:val="nl-NL"/>
              </w:rPr>
            </w:pPr>
            <w:r>
              <w:rPr>
                <w:lang w:val="nl-NL"/>
              </w:rPr>
              <w:t>Open Fluit</w:t>
            </w:r>
          </w:p>
          <w:p>
            <w:pPr>
              <w:pStyle w:val="T4dispositie"/>
              <w:jc w:val="start"/>
              <w:rPr>
                <w:lang w:val="nl-NL"/>
              </w:rPr>
            </w:pPr>
            <w:r>
              <w:rPr>
                <w:lang w:val="nl-NL"/>
              </w:rPr>
              <w:t>Nasard</w:t>
            </w:r>
          </w:p>
          <w:p>
            <w:pPr>
              <w:pStyle w:val="T4dispositie"/>
              <w:jc w:val="start"/>
              <w:rPr>
                <w:lang w:val="nl-NL"/>
              </w:rPr>
            </w:pPr>
            <w:r>
              <w:rPr>
                <w:lang w:val="nl-NL"/>
              </w:rPr>
              <w:t>Octaaf</w:t>
            </w:r>
          </w:p>
          <w:p>
            <w:pPr>
              <w:pStyle w:val="T4dispositie"/>
              <w:jc w:val="start"/>
              <w:rPr>
                <w:lang w:val="nl-NL"/>
              </w:rPr>
            </w:pPr>
            <w:r>
              <w:rPr>
                <w:lang w:val="nl-NL"/>
              </w:rPr>
              <w:t>Hobo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(1901)</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originele magazijnbalg ligt in de onderkast.</w:t>
      </w:r>
    </w:p>
    <w:p>
      <w:pPr>
        <w:pStyle w:val="T1"/>
        <w:jc w:val="start"/>
        <w:rPr>
          <w:lang w:val="nl-NL"/>
        </w:rPr>
      </w:pPr>
      <w:r>
        <w:rPr>
          <w:lang w:val="nl-NL"/>
        </w:rPr>
        <w:t>Het pijpwerk is piramidaal op de windlade geplaatst, met de C-kant aan de klaviatuurzijde.</w:t>
      </w:r>
    </w:p>
    <w:p>
      <w:pPr>
        <w:pStyle w:val="T1"/>
        <w:jc w:val="start"/>
        <w:rPr/>
      </w:pPr>
      <w:r>
        <w:rPr>
          <w:lang w:val="nl-NL"/>
        </w:rPr>
        <w:t>Het front wordt gevormd door de pijpen Dis-dis</w:t>
      </w:r>
      <w:r>
        <w:rPr>
          <w:vertAlign w:val="superscript"/>
          <w:lang w:val="nl-NL"/>
        </w:rPr>
        <w:t>1</w:t>
      </w:r>
      <w:r>
        <w:rPr>
          <w:lang w:val="nl-NL"/>
        </w:rPr>
        <w:t xml:space="preserve"> van de Prestant 8'. De Holpijp 8' telt slechts 12 tonen, C-H. Deze houten pijpen zijn afgevoerd van de lade en staan vlak achter het front. De Holpijp 8' begint op c en is geheel van metaal (gedekt) met zijbaarden. De Fluit 4' is geheel van metaal, open; cis</w:t>
      </w:r>
      <w:r>
        <w:rPr>
          <w:vertAlign w:val="superscript"/>
          <w:lang w:val="nl-NL"/>
        </w:rPr>
        <w:t>2</w:t>
      </w:r>
      <w:r>
        <w:rPr>
          <w:lang w:val="nl-NL"/>
        </w:rPr>
        <w:t>-f</w:t>
      </w:r>
      <w:r>
        <w:rPr>
          <w:vertAlign w:val="superscript"/>
          <w:lang w:val="nl-NL"/>
        </w:rPr>
        <w:t>3</w:t>
      </w:r>
      <w:r>
        <w:rPr>
          <w:lang w:val="nl-NL"/>
        </w:rPr>
        <w:t xml:space="preserve"> is overblazend. De Nasard 2 2/3' en de Octaaf 2' beginnen beide op c.</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2008-05-05T14:11:00Z</dcterms:created>
  <dc:creator>WS1</dc:creator>
  <dc:description/>
  <dc:language>en-US</dc:language>
  <cp:lastModifiedBy>NIvO</cp:lastModifiedBy>
  <dcterms:modified xsi:type="dcterms:W3CDTF">2008-05-05T14:11:00Z</dcterms:modified>
  <cp:revision>2</cp:revision>
  <dc:subject/>
  <dc:title>Heumen / ca 1860</dc:title>
</cp:coreProperties>
</file>