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Grubbenvorst / 1901</w:t>
      </w:r>
    </w:p>
    <w:p>
      <w:pPr>
        <w:pStyle w:val="Heading2"/>
        <w:rPr>
          <w:i w:val="false"/>
          <w:i w:val="false"/>
          <w:iCs/>
        </w:rPr>
      </w:pPr>
      <w:r>
        <w:rPr>
          <w:i w:val="false"/>
          <w:iCs/>
        </w:rPr>
        <w:t>Ursulinenklooster Bisweide</w:t>
      </w:r>
    </w:p>
    <w:p>
      <w:pPr>
        <w:pStyle w:val="T1"/>
        <w:jc w:val="start"/>
        <w:rPr>
          <w:i/>
          <w:i/>
          <w:iCs/>
          <w:lang w:val="nl-NL"/>
        </w:rPr>
      </w:pPr>
      <w:r>
        <w:rPr>
          <w:i/>
          <w:iCs/>
          <w:lang w:val="nl-NL"/>
        </w:rPr>
      </w:r>
    </w:p>
    <w:p>
      <w:pPr>
        <w:pStyle w:val="T1"/>
        <w:jc w:val="start"/>
        <w:rPr>
          <w:i/>
          <w:i/>
          <w:iCs/>
          <w:lang w:val="nl-NL"/>
        </w:rPr>
      </w:pPr>
      <w:r>
        <w:rPr>
          <w:i/>
          <w:iCs/>
          <w:lang w:val="nl-NL"/>
        </w:rPr>
        <w:t>Neogotische kapel met dakruiter uit ca 1890. Inwendig kruisribgewelven. Inrichting grotendeels uit de bouwtijd.</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Een fraai eenvoudig neogotisch front, vijfdelig van opbouw, dat mooi met de ruimte harmonieert. De buitenvelden van het instrument zijn relatief smal, en spitser dan de drie delen in het midden. </w:t>
      </w:r>
      <w:r>
        <w:rPr>
          <w:lang w:val="nl-NL"/>
        </w:rPr>
        <w:t xml:space="preserve">Aan de bovenzijde van de zijvelden zien we een tootboog, die herhaald wordt in de drie middenvelden; eenmaal in zijn geheel in het middenveld, en eenmaal gesplitst over de twee tussenvelden. </w:t>
      </w:r>
      <w:r>
        <w:rPr/>
        <w:t xml:space="preserve">De decoratie is rijk. We zien als blindering van de zijvelden eenzelfde soort snijwerk als in de wimberg op het middenveld, wat de eenheid versterkt. </w:t>
      </w:r>
      <w:r>
        <w:rPr>
          <w:lang w:val="nl-NL"/>
        </w:rPr>
        <w:t xml:space="preserve">In dit snijwerk is viermaal een gotische driepas te zien, die tevens harmonieert met het spitsboogfries van de balustrade waarin ook weer de vierpas wordt herhaald. </w:t>
      </w:r>
      <w:r>
        <w:rPr/>
        <w:t xml:space="preserve">Het orgel wordt bekroond met pinakels op de hoeken, hogels op de wimberg en een kruisbloem als piek. </w:t>
      </w:r>
      <w:r>
        <w:rPr>
          <w:lang w:val="nl-NL"/>
        </w:rPr>
        <w:t>Wie scherp kijkt, ziet dat zelfs de verhoogde pijpvoeten en inkassingen van de verticale scheidingen van neogotische versieringen zijn voorzien en dat de overgang van bovenkas naar onderkas niet in rechte lijn verloopt, maar verspringt.</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iCs/>
          <w:lang w:val="nl-NL"/>
        </w:rPr>
        <w:t>Gregoriusblad</w:t>
      </w:r>
      <w:r>
        <w:rPr>
          <w:lang w:val="nl-NL"/>
        </w:rPr>
        <w:t>, 26/11 (1901), 79.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Georg Stahlhuth &amp; Sohn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1901</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5738" w:type="dxa"/>
        <w:jc w:val="start"/>
        <w:tblInd w:w="-70" w:type="dxa"/>
        <w:tblLayout w:type="fixed"/>
        <w:tblCellMar>
          <w:top w:w="0" w:type="dxa"/>
          <w:start w:w="70" w:type="dxa"/>
          <w:bottom w:w="0" w:type="dxa"/>
          <w:end w:w="70" w:type="dxa"/>
        </w:tblCellMar>
      </w:tblPr>
      <w:tblGrid>
        <w:gridCol w:w="1488"/>
        <w:gridCol w:w="709"/>
        <w:gridCol w:w="1417"/>
        <w:gridCol w:w="709"/>
        <w:gridCol w:w="992"/>
        <w:gridCol w:w="423"/>
      </w:tblGrid>
      <w:tr>
        <w:trPr/>
        <w:tc>
          <w:tcPr>
            <w:tcW w:w="1488" w:type="dxa"/>
            <w:tcBorders/>
          </w:tcPr>
          <w:p>
            <w:pPr>
              <w:pStyle w:val="T4dispositie"/>
              <w:jc w:val="start"/>
              <w:rPr>
                <w:i/>
                <w:i/>
                <w:iCs/>
                <w:lang w:val="en-GB"/>
              </w:rPr>
            </w:pPr>
            <w:r>
              <w:rPr>
                <w:i/>
                <w:iCs/>
                <w:lang w:val="en-GB"/>
              </w:rPr>
              <w:t>Hoofdwerk (I)</w:t>
            </w:r>
          </w:p>
          <w:p>
            <w:pPr>
              <w:pStyle w:val="T4dispositie"/>
              <w:jc w:val="start"/>
              <w:rPr>
                <w:color w:val="000000"/>
                <w:szCs w:val="24"/>
                <w:lang w:val="en-GB"/>
              </w:rPr>
            </w:pPr>
            <w:r>
              <w:rPr>
                <w:color w:val="000000"/>
                <w:szCs w:val="24"/>
                <w:lang w:val="en-GB"/>
              </w:rPr>
              <w:t>8 stemmen</w:t>
            </w:r>
          </w:p>
          <w:p>
            <w:pPr>
              <w:pStyle w:val="T4dispositie"/>
              <w:jc w:val="start"/>
              <w:rPr>
                <w:color w:val="000000"/>
                <w:szCs w:val="24"/>
                <w:lang w:val="en-GB"/>
              </w:rPr>
            </w:pPr>
            <w:r>
              <w:rPr>
                <w:color w:val="000000"/>
                <w:szCs w:val="24"/>
                <w:lang w:val="en-GB"/>
              </w:rPr>
            </w:r>
          </w:p>
          <w:p>
            <w:pPr>
              <w:pStyle w:val="T4dispositie"/>
              <w:jc w:val="start"/>
              <w:rPr>
                <w:color w:val="000000"/>
                <w:szCs w:val="24"/>
                <w:lang w:val="en-GB"/>
              </w:rPr>
            </w:pPr>
            <w:r>
              <w:rPr>
                <w:color w:val="000000"/>
                <w:szCs w:val="24"/>
                <w:lang w:val="en-GB"/>
              </w:rPr>
              <w:t>Bordun</w:t>
            </w:r>
          </w:p>
          <w:p>
            <w:pPr>
              <w:pStyle w:val="T4dispositie"/>
              <w:jc w:val="start"/>
              <w:rPr>
                <w:color w:val="000000"/>
                <w:szCs w:val="24"/>
                <w:lang w:val="en-GB"/>
              </w:rPr>
            </w:pPr>
            <w:r>
              <w:rPr>
                <w:color w:val="000000"/>
                <w:szCs w:val="24"/>
                <w:lang w:val="en-GB"/>
              </w:rPr>
              <w:t>Principal</w:t>
            </w:r>
          </w:p>
          <w:p>
            <w:pPr>
              <w:pStyle w:val="T4dispositie"/>
              <w:jc w:val="start"/>
              <w:rPr>
                <w:color w:val="000000"/>
                <w:szCs w:val="24"/>
                <w:lang w:val="en-GB"/>
              </w:rPr>
            </w:pPr>
            <w:r>
              <w:rPr>
                <w:color w:val="000000"/>
                <w:szCs w:val="24"/>
                <w:lang w:val="en-GB"/>
              </w:rPr>
              <w:t>Harmonieflöte</w:t>
            </w:r>
          </w:p>
          <w:p>
            <w:pPr>
              <w:pStyle w:val="T4dispositie"/>
              <w:jc w:val="start"/>
              <w:rPr>
                <w:color w:val="000000"/>
                <w:szCs w:val="24"/>
                <w:lang w:val="en-GB"/>
              </w:rPr>
            </w:pPr>
            <w:r>
              <w:rPr>
                <w:color w:val="000000"/>
                <w:szCs w:val="24"/>
                <w:lang w:val="en-GB"/>
              </w:rPr>
              <w:t>Dolce</w:t>
            </w:r>
          </w:p>
          <w:p>
            <w:pPr>
              <w:pStyle w:val="T4dispositie"/>
              <w:jc w:val="start"/>
              <w:rPr>
                <w:color w:val="000000"/>
                <w:szCs w:val="24"/>
                <w:lang w:val="en-GB"/>
              </w:rPr>
            </w:pPr>
            <w:r>
              <w:rPr>
                <w:color w:val="000000"/>
                <w:szCs w:val="24"/>
                <w:lang w:val="en-GB"/>
              </w:rPr>
              <w:t>Gamba</w:t>
            </w:r>
          </w:p>
          <w:p>
            <w:pPr>
              <w:pStyle w:val="T4dispositie"/>
              <w:jc w:val="start"/>
              <w:rPr>
                <w:color w:val="000000"/>
                <w:szCs w:val="24"/>
                <w:lang w:val="en-GB"/>
              </w:rPr>
            </w:pPr>
            <w:r>
              <w:rPr>
                <w:color w:val="000000"/>
                <w:szCs w:val="24"/>
                <w:lang w:val="en-GB"/>
              </w:rPr>
              <w:t>Octave</w:t>
            </w:r>
          </w:p>
          <w:p>
            <w:pPr>
              <w:pStyle w:val="T4dispositie"/>
              <w:jc w:val="start"/>
              <w:rPr>
                <w:lang w:val="nl-NL"/>
              </w:rPr>
            </w:pPr>
            <w:r>
              <w:rPr>
                <w:lang w:val="nl-NL"/>
              </w:rPr>
              <w:t>Progressio</w:t>
            </w:r>
          </w:p>
          <w:p>
            <w:pPr>
              <w:pStyle w:val="T4dispositie"/>
              <w:jc w:val="start"/>
              <w:rPr>
                <w:lang w:val="nl-NL"/>
              </w:rPr>
            </w:pPr>
            <w:r>
              <w:rPr>
                <w:lang w:val="nl-NL"/>
              </w:rPr>
              <w:t>Trompete</w:t>
            </w:r>
          </w:p>
        </w:tc>
        <w:tc>
          <w:tcPr>
            <w:tcW w:w="70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1-3 f.</w:t>
            </w:r>
          </w:p>
          <w:p>
            <w:pPr>
              <w:pStyle w:val="T4dispositie"/>
              <w:jc w:val="start"/>
              <w:rPr>
                <w:lang w:val="nl-NL"/>
              </w:rPr>
            </w:pPr>
            <w:r>
              <w:rPr>
                <w:lang w:val="nl-NL"/>
              </w:rPr>
              <w:t>8'</w:t>
            </w:r>
          </w:p>
        </w:tc>
        <w:tc>
          <w:tcPr>
            <w:tcW w:w="1417" w:type="dxa"/>
            <w:tcBorders/>
          </w:tcPr>
          <w:p>
            <w:pPr>
              <w:pStyle w:val="T4dispositie"/>
              <w:jc w:val="start"/>
              <w:rPr>
                <w:lang w:val="nl-NL"/>
              </w:rPr>
            </w:pPr>
            <w:r>
              <w:rPr>
                <w:i/>
                <w:lang w:val="nl-NL"/>
              </w:rPr>
              <w:t>Zwelwerk (II)</w:t>
            </w:r>
          </w:p>
          <w:p>
            <w:pPr>
              <w:pStyle w:val="T4dispositie"/>
              <w:jc w:val="start"/>
              <w:rPr>
                <w:color w:val="000000"/>
                <w:szCs w:val="24"/>
                <w:lang w:val="nl-NL"/>
              </w:rPr>
            </w:pPr>
            <w:r>
              <w:rPr>
                <w:color w:val="000000"/>
                <w:szCs w:val="24"/>
                <w:lang w:val="nl-NL"/>
              </w:rPr>
              <w:t>5 stemmen</w:t>
            </w:r>
          </w:p>
          <w:p>
            <w:pPr>
              <w:pStyle w:val="T4dispositie"/>
              <w:jc w:val="start"/>
              <w:rPr>
                <w:color w:val="000000"/>
                <w:szCs w:val="24"/>
                <w:lang w:val="nl-NL"/>
              </w:rPr>
            </w:pPr>
            <w:r>
              <w:rPr>
                <w:color w:val="000000"/>
                <w:szCs w:val="24"/>
                <w:lang w:val="nl-NL"/>
              </w:rPr>
            </w:r>
          </w:p>
          <w:p>
            <w:pPr>
              <w:pStyle w:val="T4dispositie"/>
              <w:jc w:val="start"/>
              <w:rPr>
                <w:color w:val="000000"/>
                <w:szCs w:val="24"/>
                <w:lang w:val="nl-NL"/>
              </w:rPr>
            </w:pPr>
            <w:r>
              <w:rPr>
                <w:color w:val="000000"/>
                <w:szCs w:val="24"/>
                <w:lang w:val="nl-NL"/>
              </w:rPr>
              <w:t>Gedackt</w:t>
            </w:r>
          </w:p>
          <w:p>
            <w:pPr>
              <w:pStyle w:val="T4dispositie"/>
              <w:jc w:val="start"/>
              <w:rPr>
                <w:color w:val="000000"/>
                <w:szCs w:val="24"/>
                <w:lang w:val="nl-NL"/>
              </w:rPr>
            </w:pPr>
            <w:r>
              <w:rPr>
                <w:color w:val="000000"/>
                <w:szCs w:val="24"/>
                <w:lang w:val="nl-NL"/>
              </w:rPr>
              <w:t>Salicional</w:t>
            </w:r>
          </w:p>
          <w:p>
            <w:pPr>
              <w:pStyle w:val="T4dispositie"/>
              <w:jc w:val="start"/>
              <w:rPr>
                <w:color w:val="000000"/>
                <w:szCs w:val="24"/>
                <w:lang w:val="nl-NL"/>
              </w:rPr>
            </w:pPr>
            <w:r>
              <w:rPr>
                <w:color w:val="000000"/>
                <w:szCs w:val="24"/>
                <w:lang w:val="nl-NL"/>
              </w:rPr>
              <w:t>Vox coelestis</w:t>
            </w:r>
          </w:p>
          <w:p>
            <w:pPr>
              <w:pStyle w:val="T4dispositie"/>
              <w:jc w:val="start"/>
              <w:rPr>
                <w:color w:val="000000"/>
                <w:szCs w:val="24"/>
                <w:lang w:val="nl-NL"/>
              </w:rPr>
            </w:pPr>
            <w:r>
              <w:rPr>
                <w:color w:val="000000"/>
                <w:szCs w:val="24"/>
                <w:lang w:val="nl-NL"/>
              </w:rPr>
              <w:t>Concertflöte</w:t>
            </w:r>
          </w:p>
          <w:p>
            <w:pPr>
              <w:pStyle w:val="T4dispositie"/>
              <w:jc w:val="start"/>
              <w:rPr>
                <w:lang w:val="nl-NL"/>
              </w:rPr>
            </w:pPr>
            <w:r>
              <w:rPr>
                <w:lang w:val="nl-NL"/>
              </w:rPr>
              <w:t>Oboe</w:t>
            </w:r>
          </w:p>
        </w:tc>
        <w:tc>
          <w:tcPr>
            <w:tcW w:w="70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8'</w:t>
            </w:r>
          </w:p>
        </w:tc>
        <w:tc>
          <w:tcPr>
            <w:tcW w:w="992" w:type="dxa"/>
            <w:tcBorders/>
          </w:tcPr>
          <w:p>
            <w:pPr>
              <w:pStyle w:val="T4dispositie"/>
              <w:jc w:val="start"/>
              <w:rPr>
                <w:lang w:val="nl-NL"/>
              </w:rPr>
            </w:pPr>
            <w:r>
              <w:rPr>
                <w:i/>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Subbass</w:t>
            </w:r>
          </w:p>
          <w:p>
            <w:pPr>
              <w:pStyle w:val="T4dispositie"/>
              <w:jc w:val="start"/>
              <w:rPr>
                <w:lang w:val="nl-NL"/>
              </w:rPr>
            </w:pPr>
            <w:r>
              <w:rPr>
                <w:color w:val="000000"/>
                <w:szCs w:val="24"/>
                <w:lang w:val="nl-NL"/>
              </w:rPr>
              <w:t>Octavbass</w:t>
            </w:r>
          </w:p>
        </w:tc>
        <w:tc>
          <w:tcPr>
            <w:tcW w:w="42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szCs w:val="24"/>
          <w:lang w:val="nl-NL"/>
        </w:rPr>
      </w:pPr>
      <w:r>
        <w:rPr>
          <w:lang w:val="nl-NL"/>
        </w:rPr>
        <w:t>Werktuiglijke registers</w:t>
      </w:r>
    </w:p>
    <w:p>
      <w:pPr>
        <w:pStyle w:val="T1"/>
        <w:jc w:val="start"/>
        <w:rPr/>
      </w:pPr>
      <w:r>
        <w:rPr/>
        <w:t>Koppel II zu I, Koppel I zu Ped, Koppel II zu Ped. Superkoppel.</w:t>
      </w:r>
    </w:p>
    <w:p>
      <w:pPr>
        <w:pStyle w:val="T1"/>
        <w:jc w:val="start"/>
        <w:rPr>
          <w:lang w:val="nl-NL"/>
        </w:rPr>
      </w:pPr>
      <w:r>
        <w:rPr>
          <w:lang w:val="nl-NL"/>
        </w:rPr>
        <w:t>6 vaste combinaties</w:t>
      </w:r>
    </w:p>
    <w:p>
      <w:pPr>
        <w:pStyle w:val="T1"/>
        <w:jc w:val="start"/>
        <w:rPr>
          <w:lang w:val="nl-NL"/>
        </w:rPr>
      </w:pPr>
      <w:r>
        <w:rPr>
          <w:lang w:val="nl-NL"/>
        </w:rPr>
        <w:t>automatische pedaalomschakeling</w:t>
      </w:r>
    </w:p>
    <w:p>
      <w:pPr>
        <w:pStyle w:val="T1"/>
        <w:jc w:val="start"/>
        <w:rPr>
          <w:lang w:val="nl-NL"/>
        </w:rPr>
      </w:pPr>
      <w:r>
        <w:rPr>
          <w:lang w:val="nl-NL"/>
        </w:rPr>
        <w:t>knop voor het inschakelen van het generaal crescendo (verdwenen)</w:t>
      </w:r>
    </w:p>
    <w:p>
      <w:pPr>
        <w:pStyle w:val="T1"/>
        <w:jc w:val="start"/>
        <w:rPr>
          <w:lang w:val="nl-NL"/>
        </w:rPr>
      </w:pPr>
      <w:r>
        <w:rPr>
          <w:lang w:val="nl-NL"/>
        </w:rPr>
        <w:t>trede voor zwelkast</w:t>
      </w:r>
    </w:p>
    <w:p>
      <w:pPr>
        <w:pStyle w:val="T1"/>
        <w:jc w:val="start"/>
        <w:rPr>
          <w:lang w:val="nl-NL"/>
        </w:rPr>
      </w:pPr>
      <w:r>
        <w:rPr>
          <w:lang w:val="nl-NL"/>
        </w:rPr>
        <w:t>trede voor generaalcrescendo</w:t>
      </w:r>
    </w:p>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Samenstelling vulstem</w:t>
      </w:r>
    </w:p>
    <w:tbl>
      <w:tblPr>
        <w:tblW w:w="3459" w:type="dxa"/>
        <w:jc w:val="start"/>
        <w:tblInd w:w="-108" w:type="dxa"/>
        <w:tblLayout w:type="fixed"/>
        <w:tblCellMar>
          <w:top w:w="0" w:type="dxa"/>
          <w:start w:w="108" w:type="dxa"/>
          <w:bottom w:w="0" w:type="dxa"/>
          <w:end w:w="108" w:type="dxa"/>
        </w:tblCellMar>
      </w:tblPr>
      <w:tblGrid>
        <w:gridCol w:w="1350"/>
        <w:gridCol w:w="485"/>
        <w:gridCol w:w="812"/>
        <w:gridCol w:w="812"/>
      </w:tblGrid>
      <w:tr>
        <w:trPr/>
        <w:tc>
          <w:tcPr>
            <w:tcW w:w="1350" w:type="dxa"/>
            <w:tcBorders/>
          </w:tcPr>
          <w:p>
            <w:pPr>
              <w:pStyle w:val="Normal"/>
              <w:rPr>
                <w:rFonts w:ascii="Times New Roman" w:hAnsi="Times New Roman" w:cs="Times New Roman"/>
                <w:szCs w:val="24"/>
              </w:rPr>
            </w:pPr>
            <w:r>
              <w:rPr>
                <w:rFonts w:cs="Times New Roman" w:ascii="Times New Roman" w:hAnsi="Times New Roman"/>
                <w:szCs w:val="24"/>
              </w:rPr>
              <w:t>Progressio</w:t>
            </w:r>
          </w:p>
        </w:tc>
        <w:tc>
          <w:tcPr>
            <w:tcW w:w="485" w:type="dxa"/>
            <w:tcBorders/>
          </w:tcPr>
          <w:p>
            <w:pPr>
              <w:pStyle w:val="T4dispositie"/>
              <w:rPr>
                <w:lang w:val="nl-NL"/>
              </w:rPr>
            </w:pPr>
            <w:r>
              <w:rPr>
                <w:lang w:val="nl-NL"/>
              </w:rPr>
              <w:t>C</w:t>
            </w:r>
          </w:p>
          <w:p>
            <w:pPr>
              <w:pStyle w:val="T4dispositie"/>
              <w:rPr>
                <w:lang w:val="nl-NL"/>
              </w:rPr>
            </w:pPr>
            <w:r>
              <w:rPr>
                <w:lang w:val="nl-NL"/>
              </w:rPr>
              <w:t>2</w:t>
            </w:r>
          </w:p>
        </w:tc>
        <w:tc>
          <w:tcPr>
            <w:tcW w:w="812"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812"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 </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regulateur en schokbalg (1901)</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lang w:val="nl-NL"/>
        </w:rPr>
        <w:t xml:space="preserve">Dit instrument verkeert in geheel originele staat. </w:t>
      </w:r>
      <w:r>
        <w:rPr/>
        <w:t xml:space="preserve">De tractuur is rein pneumatisch en is vervaardigd van koperen buisjes. </w:t>
      </w:r>
    </w:p>
    <w:p>
      <w:pPr>
        <w:pStyle w:val="T1"/>
        <w:jc w:val="start"/>
        <w:rPr>
          <w:lang w:val="nl-NL"/>
        </w:rPr>
      </w:pPr>
      <w:r>
        <w:rPr>
          <w:lang w:val="nl-NL"/>
        </w:rPr>
        <w:t>Het ZwW bevindt zich in de onderkas waarbij de zweldeuren zich aan de bovenzijde van de ombouw om het ZwW bevinden (uitgevoerd als horizontale jaloezieën). Bijzonder is verder dat de hele pneumatische tractuur in één keer automatisch wordt uitgeschakeld wanneer het bovenblad van de magazijnbalg bij een te groot windverbruik teveel zakt.</w:t>
      </w:r>
    </w:p>
    <w:p>
      <w:pPr>
        <w:pStyle w:val="T1"/>
        <w:jc w:val="start"/>
        <w:rPr/>
      </w:pPr>
      <w:r>
        <w:rPr>
          <w:lang w:val="nl-NL"/>
        </w:rPr>
        <w:t>De opstelling van het HW is tot en met h</w:t>
      </w:r>
      <w:r>
        <w:rPr>
          <w:vertAlign w:val="superscript"/>
          <w:lang w:val="nl-NL"/>
        </w:rPr>
        <w:t>2</w:t>
      </w:r>
      <w:r>
        <w:rPr>
          <w:lang w:val="nl-NL"/>
        </w:rPr>
        <w:t xml:space="preserve"> in hele tonen met de grootste pijpen in het midden, het vervolg is chromatisch en sluit aan bij h</w:t>
      </w:r>
      <w:r>
        <w:rPr>
          <w:vertAlign w:val="superscript"/>
          <w:lang w:val="nl-NL"/>
        </w:rPr>
        <w:t>2</w:t>
      </w:r>
      <w:r>
        <w:rPr>
          <w:lang w:val="nl-NL"/>
        </w:rPr>
        <w:t>. Het ZwW is geheel chromatisch opgesteld. Het Ped is verdeeld in C- en Ciskant waarbij op beide laden de grootste pijpen in het midden staan.</w:t>
      </w:r>
    </w:p>
    <w:p>
      <w:pPr>
        <w:pStyle w:val="T1"/>
        <w:jc w:val="start"/>
        <w:rPr/>
      </w:pPr>
      <w:r>
        <w:rPr>
          <w:lang w:val="nl-NL"/>
        </w:rPr>
        <w:t>De Bourdon 16' is van C-f</w:t>
      </w:r>
      <w:r>
        <w:rPr>
          <w:vertAlign w:val="superscript"/>
          <w:lang w:val="nl-NL"/>
        </w:rPr>
        <w:t>1</w:t>
      </w:r>
      <w:r>
        <w:rPr>
          <w:lang w:val="nl-NL"/>
        </w:rPr>
        <w:t xml:space="preserve"> van hout (gedekt), het vervolg is van metaal (gedekt). C en Cis van de Prestant 8' zijn van hout (open) en achter het front opgesteld. D-a staan in het front, het vervolg staat op de lade en is voorzien van expressions. C-h</w:t>
      </w:r>
      <w:r>
        <w:rPr>
          <w:vertAlign w:val="superscript"/>
          <w:lang w:val="nl-NL"/>
        </w:rPr>
        <w:t>1</w:t>
      </w:r>
      <w:r>
        <w:rPr>
          <w:lang w:val="nl-NL"/>
        </w:rPr>
        <w:t xml:space="preserve"> van de Harmonieflöte 8' zijn van hout, open met metalen stemlapjes aan de bovenzijde. Het vervolg is van metaal, open, overblazend met dubbele lengte en een gaatje halverwege het corpus. De Gamba 8' is geheel van metaal. Alle pijpen hebben expressions, freins zijn aangebracht bij C-H. De Dolce 8' is van C-H van zink, het vervolg is van metaal. Ook hier zijn overal expressions aangebracht en freins van C-H. De Octave 4' is geheel van metaal; C-f</w:t>
      </w:r>
      <w:r>
        <w:rPr>
          <w:vertAlign w:val="superscript"/>
          <w:lang w:val="nl-NL"/>
        </w:rPr>
        <w:t>2</w:t>
      </w:r>
      <w:r>
        <w:rPr>
          <w:lang w:val="nl-NL"/>
        </w:rPr>
        <w:t xml:space="preserve"> met expressions. De Progressio is geheel van metaal en grotendeels voorzien van expressions. De Trompete 8' is van C-H van zink, het vervolg is van metaal. De bekers van g</w:t>
      </w:r>
      <w:r>
        <w:rPr>
          <w:vertAlign w:val="superscript"/>
          <w:lang w:val="nl-NL"/>
        </w:rPr>
        <w:t>2</w:t>
      </w:r>
      <w:r>
        <w:rPr>
          <w:lang w:val="nl-NL"/>
        </w:rPr>
        <w:t>-e</w:t>
      </w:r>
      <w:r>
        <w:rPr>
          <w:vertAlign w:val="superscript"/>
          <w:lang w:val="nl-NL"/>
        </w:rPr>
        <w:t>3</w:t>
      </w:r>
      <w:r>
        <w:rPr>
          <w:lang w:val="nl-NL"/>
        </w:rPr>
        <w:t xml:space="preserve"> hebben dubbele lengte, f</w:t>
      </w:r>
      <w:r>
        <w:rPr>
          <w:vertAlign w:val="superscript"/>
          <w:lang w:val="nl-NL"/>
        </w:rPr>
        <w:t>3</w:t>
      </w:r>
      <w:r>
        <w:rPr>
          <w:lang w:val="nl-NL"/>
        </w:rPr>
        <w:t xml:space="preserve"> is een labiaal.</w:t>
      </w:r>
    </w:p>
    <w:p>
      <w:pPr>
        <w:pStyle w:val="T1"/>
        <w:jc w:val="start"/>
        <w:rPr/>
      </w:pPr>
      <w:r>
        <w:rPr>
          <w:lang w:val="nl-NL"/>
        </w:rPr>
        <w:t>C-f van de Gedackt 8' zijn van hout (gedekt); fis-a</w:t>
      </w:r>
      <w:r>
        <w:rPr>
          <w:vertAlign w:val="superscript"/>
          <w:lang w:val="nl-NL"/>
        </w:rPr>
        <w:t>2</w:t>
      </w:r>
      <w:r>
        <w:rPr>
          <w:lang w:val="nl-NL"/>
        </w:rPr>
        <w:t xml:space="preserve"> zijn van metaal (gedekt); het vervolg is open, conisch. C-H van de Salicional 8' zijn van hout, gedekt, het vervolg is open en voorzien van expressions. De Vox coelestis 8' begint op c en is geheel van metaal met expressions. De Concertflöte 4' is van C-h van metaal, roergedekt en verder overblazend (open met dubbele lengte en een gaatje halverwege het corpus). De Oboe 8' is van C-H voorzien van trechtervormige metalen bekers. Het vervolg tot en met d</w:t>
      </w:r>
      <w:r>
        <w:rPr>
          <w:vertAlign w:val="superscript"/>
          <w:lang w:val="nl-NL"/>
        </w:rPr>
        <w:t>2</w:t>
      </w:r>
      <w:r>
        <w:rPr>
          <w:lang w:val="nl-NL"/>
        </w:rPr>
        <w:t xml:space="preserve"> is voorzien van hobo-bekers, de overige bekers zijn trechtervormig. </w:t>
      </w:r>
      <w:r>
        <w:rPr/>
        <w:t>Vanaf gis</w:t>
      </w:r>
      <w:r>
        <w:rPr>
          <w:vertAlign w:val="superscript"/>
        </w:rPr>
        <w:t>2</w:t>
      </w:r>
      <w:r>
        <w:rPr/>
        <w:t xml:space="preserve"> hebben de bekers dubbele lengte.</w:t>
      </w:r>
    </w:p>
    <w:p>
      <w:pPr>
        <w:pStyle w:val="T1"/>
        <w:jc w:val="start"/>
        <w:rPr/>
      </w:pPr>
      <w:r>
        <w:rPr/>
        <w:t xml:space="preserve">De beide pedaalregisters zijn geheel van hout. </w:t>
      </w:r>
      <w:r>
        <w:rPr>
          <w:lang w:val="nl-NL"/>
        </w:rPr>
        <w:t>De Subbass 16' is gedekt, de Octavbass 8' is open met stemschuiven.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PageNumber">
    <w:name w:val="Page Number"/>
    <w:basedOn w:val="Standaardalinealettertyp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2008-05-05T14:12:00Z</dcterms:created>
  <dc:creator>WS1</dc:creator>
  <dc:description/>
  <dc:language>en-US</dc:language>
  <cp:lastModifiedBy>NIvO</cp:lastModifiedBy>
  <cp:lastPrinted>2006-11-21T15:28:00Z</cp:lastPrinted>
  <dcterms:modified xsi:type="dcterms:W3CDTF">2008-05-13T09:54:00Z</dcterms:modified>
  <cp:revision>3</cp:revision>
  <dc:subject/>
  <dc:title>Sweykhuizen / 1883</dc:title>
</cp:coreProperties>
</file>