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Hoogblokland / 1901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uit 1881 met driehoekige sluiting, naar een ontwerp van A. van der Haven. IJzeren rondboogvensters. Kansel uit de 17e eeuw, afkomstig uit het vorige kerkgebouw.</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frontschema, voorzover bekend een unicum in het werk van Van den Bijlaardt, is sterk verwant aan het klassieke schema met drie halfronde torens en gedeelde tussenvelden. Enkele in het oog springende verschillen: de middentoren is in Hoogblokland spits uitgevoerd en de onderste zijvelden hebben een boogvormige afsluiting. Dit laatste, in de balustrade terugkerende element, vinden we terug in met name de fronten van de gebroeders Adema. Enige relatie met Adema, waar Van den Bijlaardt zijn basisopleiding ontving, is dus niet geheel uitgesloten. De bovenste tussenvelden zijn bij Adema echter korter. Ook de rechte afsluiting van deze tussenvelden is niet ‘des Adema’s’. Labiumverloop en ornamentiek vertonen grote verschillen; de tussenvelden zijn vlak. Hoewel het Hoogbloklandse front enige verwantschap vertoont met de Adema-opzet, zijn de verschillen toch te groot om te vermoeden dat het hier een Adema-kas betreft. Waarschijnlijker is dat de kas van een ouder orgel afkomstig is.</w:t>
      </w:r>
    </w:p>
    <w:p>
      <w:pPr>
        <w:pStyle w:val="T2Kunst"/>
        <w:jc w:val="start"/>
        <w:rPr>
          <w:lang w:val="nl-NL"/>
        </w:rPr>
      </w:pPr>
      <w:r>
        <w:rPr>
          <w:lang w:val="nl-NL"/>
        </w:rPr>
        <w:t>Dit frontschema zien we later terug bij A. Standaart (bijvoorbeeld ’s Heer Hendrikskinderen, 1912), zij het dat bij Standaart de buitentorens spits zijn en de middentoren rond. Een kas als deze komt in het oeuvre van Van den Bijlaardt verder niet voor.</w:t>
      </w:r>
    </w:p>
    <w:p>
      <w:pPr>
        <w:pStyle w:val="T2Kunst"/>
        <w:jc w:val="start"/>
        <w:rPr>
          <w:lang w:val="nl-NL"/>
        </w:rPr>
      </w:pPr>
      <w:r>
        <w:rPr>
          <w:lang w:val="nl-NL"/>
        </w:rPr>
        <w:t>De ornamentiek is boeiend. De torens worden bekroond met uit meerdere voluten samengestelde figuren. Aan de profilering van de kappen van de torens is de nodige aandacht besteed. Aan boven- en onderzijde van het pijpwerk in de torens liggende S-voluten.</w:t>
      </w:r>
    </w:p>
    <w:p>
      <w:pPr>
        <w:pStyle w:val="T2Kunst"/>
        <w:jc w:val="start"/>
        <w:rPr>
          <w:lang w:val="nl-NL"/>
        </w:rPr>
      </w:pPr>
      <w:r>
        <w:rPr>
          <w:lang w:val="nl-NL"/>
        </w:rPr>
        <w:t>Waarom de ornamentiek voor de pijpvoeten in de tussenvelden ontbreekt, is niet geheel duidelijk. Wellicht heeft Van den Bijlaardt hiermee willen aansluiten op een aan het einde van de 19e eeuw groeiende gewoonte.</w:t>
      </w:r>
    </w:p>
    <w:p>
      <w:pPr>
        <w:pStyle w:val="T2Kunst"/>
        <w:jc w:val="start"/>
        <w:rPr>
          <w:lang w:val="nl-NL"/>
        </w:rPr>
      </w:pPr>
      <w:r>
        <w:rPr>
          <w:lang w:val="nl-NL"/>
        </w:rPr>
        <w:t xml:space="preserve">De zijtorens rusten op gelobde consoles. De middentoren heeft een vrijwel vlakke vormgeving, waarop geometrische patronen zijn aangebracht. Alle consoles worden afgesloten met een granaatappel. </w:t>
      </w:r>
      <w:r>
        <w:rPr>
          <w:rFonts w:cs="Arial" w:ascii="Arial" w:hAnsi="Arial"/>
          <w:lang w:val="nl-NL"/>
        </w:rPr>
        <w:t xml:space="preserve">De ornamentiek aan de zijkanten van de kas bevat, volgens de berichtgeving in de </w:t>
      </w:r>
      <w:r>
        <w:rPr>
          <w:rFonts w:cs="Arial" w:ascii="Arial" w:hAnsi="Arial"/>
          <w:i/>
          <w:iCs/>
          <w:lang w:val="nl-NL"/>
        </w:rPr>
        <w:t>Kerkelijke Courant</w:t>
      </w:r>
      <w:r>
        <w:rPr>
          <w:rFonts w:cs="Arial" w:ascii="Arial" w:hAnsi="Arial"/>
          <w:lang w:val="nl-NL"/>
        </w:rPr>
        <w:t>, de wapens van burgemeester en burgerlijke gemeente.</w:t>
      </w:r>
    </w:p>
    <w:p>
      <w:pPr>
        <w:pStyle w:val="T2Kunst"/>
        <w:jc w:val="start"/>
        <w:rPr>
          <w:sz w:val="20"/>
          <w:lang w:val="nl-NL"/>
        </w:rPr>
      </w:pPr>
      <w:r>
        <w:rPr>
          <w:sz w:val="20"/>
          <w:lang w:val="nl-NL"/>
        </w:rPr>
      </w:r>
    </w:p>
    <w:p>
      <w:pPr>
        <w:pStyle w:val="T2Kunst"/>
        <w:jc w:val="start"/>
        <w:rPr>
          <w:b/>
          <w:b/>
          <w:bCs/>
          <w:sz w:val="20"/>
        </w:rPr>
      </w:pPr>
      <w:r>
        <w:rPr>
          <w:b/>
          <w:bCs/>
          <w:sz w:val="20"/>
        </w:rPr>
        <w:t>Literatuur</w:t>
      </w:r>
    </w:p>
    <w:p>
      <w:pPr>
        <w:pStyle w:val="T2Kunst"/>
        <w:jc w:val="start"/>
        <w:rPr/>
      </w:pPr>
      <w:r>
        <w:rPr>
          <w:i/>
          <w:iCs/>
          <w:sz w:val="20"/>
        </w:rPr>
        <w:t>Kerkelijke Courant</w:t>
      </w:r>
      <w:r>
        <w:rPr>
          <w:sz w:val="20"/>
        </w:rPr>
        <w:t>, 55/18 (1901).</w:t>
      </w:r>
    </w:p>
    <w:p>
      <w:pPr>
        <w:pStyle w:val="T2Kunst"/>
        <w:jc w:val="start"/>
        <w:rPr/>
      </w:pPr>
      <w:r>
        <w:rPr>
          <w:sz w:val="20"/>
        </w:rPr>
        <w:t xml:space="preserve">Bart van Buitenen, ‘Het orgel van de Hervormde Kerk te Hoogblokland’. </w:t>
      </w:r>
      <w:r>
        <w:rPr>
          <w:i/>
          <w:iCs/>
          <w:sz w:val="20"/>
        </w:rPr>
        <w:t>Orgelklanken uit de Alblasserwaard</w:t>
      </w:r>
      <w:r>
        <w:rPr>
          <w:sz w:val="20"/>
        </w:rPr>
        <w:t>, 20 (1997).</w:t>
      </w:r>
    </w:p>
    <w:p>
      <w:pPr>
        <w:pStyle w:val="T2Kunst"/>
        <w:jc w:val="start"/>
        <w:rPr>
          <w:rFonts w:ascii="Arial Unicode MS" w:hAnsi="Arial Unicode MS" w:eastAsia="Arial Unicode MS" w:cs="Arial Unicode MS"/>
          <w:sz w:val="20"/>
          <w:szCs w:val="24"/>
          <w:lang w:val="nl-NL"/>
        </w:rPr>
      </w:pPr>
      <w:r>
        <w:rPr>
          <w:rFonts w:cs="Arial" w:ascii="Arial" w:hAnsi="Arial"/>
          <w:sz w:val="20"/>
        </w:rPr>
        <w:t xml:space="preserve">G.S.C. van Kuilenburg-Vaas en C.B. van Kuilenburg. </w:t>
      </w:r>
      <w:r>
        <w:rPr>
          <w:rFonts w:cs="Arial" w:ascii="Arial" w:hAnsi="Arial"/>
          <w:i/>
          <w:iCs/>
          <w:sz w:val="20"/>
        </w:rPr>
        <w:t xml:space="preserve">Over Blokland. </w:t>
      </w:r>
      <w:r>
        <w:rPr>
          <w:rFonts w:cs="Arial" w:ascii="Arial" w:hAnsi="Arial"/>
          <w:i/>
          <w:iCs/>
          <w:sz w:val="20"/>
          <w:lang w:val="nl-NL"/>
        </w:rPr>
        <w:t>Geschiedenis van een dorp in het land van Arkel</w:t>
      </w:r>
      <w:r>
        <w:rPr>
          <w:rFonts w:cs="Arial" w:ascii="Arial" w:hAnsi="Arial"/>
          <w:sz w:val="20"/>
          <w:lang w:val="nl-NL"/>
        </w:rPr>
        <w:t>. Hoogblokland, 1985, 84-85.</w:t>
      </w:r>
    </w:p>
    <w:p>
      <w:pPr>
        <w:pStyle w:val="T2Kunst"/>
        <w:jc w:val="start"/>
        <w:rPr/>
      </w:pPr>
      <w:r>
        <w:rPr>
          <w:i/>
          <w:iCs/>
          <w:sz w:val="20"/>
          <w:lang w:val="nl-NL"/>
        </w:rPr>
        <w:t>De Orgelvriend</w:t>
      </w:r>
      <w:r>
        <w:rPr>
          <w:sz w:val="20"/>
          <w:lang w:val="nl-NL"/>
        </w:rPr>
        <w:t>, 45/5 (2003), 30-31.</w:t>
      </w:r>
    </w:p>
    <w:p>
      <w:pPr>
        <w:pStyle w:val="T2Kunst"/>
        <w:jc w:val="start"/>
        <w:rPr>
          <w:sz w:val="20"/>
          <w:lang w:val="nl-NL"/>
        </w:rPr>
      </w:pPr>
      <w:r>
        <w:rPr>
          <w:sz w:val="20"/>
          <w:lang w:val="nl-NL"/>
        </w:rPr>
      </w:r>
    </w:p>
    <w:p>
      <w:pPr>
        <w:pStyle w:val="T2Kunst"/>
        <w:jc w:val="start"/>
        <w:rPr>
          <w:b/>
          <w:b/>
          <w:bCs/>
          <w:sz w:val="20"/>
        </w:rPr>
      </w:pPr>
      <w:r>
        <w:rPr>
          <w:b/>
          <w:bCs/>
          <w:sz w:val="20"/>
        </w:rPr>
        <w:t>Niet gepubliceerde bronnen</w:t>
      </w:r>
    </w:p>
    <w:p>
      <w:pPr>
        <w:pStyle w:val="T2Kunst"/>
        <w:jc w:val="start"/>
        <w:rPr/>
      </w:pPr>
      <w:r>
        <w:rPr>
          <w:sz w:val="20"/>
        </w:rPr>
        <w:t xml:space="preserve">Henk van Eeken, </w:t>
      </w:r>
      <w:r>
        <w:rPr>
          <w:i/>
          <w:iCs/>
          <w:sz w:val="20"/>
        </w:rPr>
        <w:t>Rapport inzake het nieuwe orgel in de Hervormde Kerk te Hoogblokland</w:t>
      </w:r>
      <w:r>
        <w:rPr>
          <w:sz w:val="20"/>
        </w:rPr>
        <w:t>. Herwijnen, 1998.</w:t>
      </w:r>
    </w:p>
    <w:p>
      <w:pPr>
        <w:pStyle w:val="T2Kunst"/>
        <w:jc w:val="start"/>
        <w:rPr>
          <w:sz w:val="20"/>
        </w:rPr>
      </w:pPr>
      <w:r>
        <w:rPr>
          <w:sz w:val="20"/>
        </w:rPr>
        <w:t>Orgelarchief Teus den Toom.</w:t>
      </w:r>
    </w:p>
    <w:p>
      <w:pPr>
        <w:pStyle w:val="T2Kunst"/>
        <w:rPr>
          <w:sz w:val="20"/>
        </w:rPr>
      </w:pPr>
      <w:r>
        <w:rPr>
          <w:sz w:val="20"/>
        </w:rPr>
      </w:r>
    </w:p>
    <w:p>
      <w:pPr>
        <w:pStyle w:val="T2Kunst"/>
        <w:rPr>
          <w:sz w:val="20"/>
          <w:lang w:val="nl-NL"/>
        </w:rPr>
      </w:pPr>
      <w:r>
        <w:rPr>
          <w:sz w:val="20"/>
          <w:lang w:val="nl-NL"/>
        </w:rPr>
        <w:t>Monumentnummer 366791</w:t>
      </w:r>
    </w:p>
    <w:p>
      <w:pPr>
        <w:pStyle w:val="T2Kunst"/>
        <w:rPr>
          <w:sz w:val="20"/>
          <w:lang w:val="nl-NL"/>
        </w:rPr>
      </w:pPr>
      <w:r>
        <w:rPr>
          <w:sz w:val="20"/>
          <w:lang w:val="nl-NL"/>
        </w:rPr>
        <w:t>Orgelnummer 2085</w:t>
      </w:r>
    </w:p>
    <w:p>
      <w:pPr>
        <w:pStyle w:val="T3Lit"/>
        <w:rPr>
          <w:sz w:val="20"/>
          <w:lang w:val="nl-NL"/>
        </w:rPr>
      </w:pPr>
      <w:r>
        <w:rPr>
          <w:sz w:val="20"/>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J.J. van den Bijlaardt</w:t>
      </w:r>
    </w:p>
    <w:p>
      <w:pPr>
        <w:pStyle w:val="T1"/>
        <w:jc w:val="start"/>
        <w:rPr>
          <w:lang w:val="nl-NL"/>
        </w:rPr>
      </w:pPr>
      <w:r>
        <w:rPr>
          <w:lang w:val="nl-NL"/>
        </w:rPr>
        <w:t>2. H. van Eeken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1. 1901</w:t>
      </w:r>
    </w:p>
    <w:p>
      <w:pPr>
        <w:pStyle w:val="T1"/>
        <w:jc w:val="start"/>
        <w:rPr>
          <w:lang w:val="nl-NL"/>
        </w:rPr>
      </w:pPr>
      <w:r>
        <w:rPr>
          <w:lang w:val="nl-NL"/>
        </w:rPr>
        <w:t>2. 2002</w:t>
      </w:r>
    </w:p>
    <w:p>
      <w:pPr>
        <w:pStyle w:val="T1"/>
        <w:jc w:val="start"/>
        <w:rPr>
          <w:lang w:val="nl-NL"/>
        </w:rPr>
      </w:pPr>
      <w:r>
        <w:rPr>
          <w:lang w:val="nl-NL"/>
        </w:rPr>
      </w:r>
    </w:p>
    <w:p>
      <w:pPr>
        <w:pStyle w:val="T1"/>
        <w:jc w:val="start"/>
        <w:rPr/>
      </w:pPr>
      <w:r>
        <w:rPr/>
        <w:t>Dispositie 1901</w:t>
      </w:r>
    </w:p>
    <w:tbl>
      <w:tblPr>
        <w:tblW w:w="1819" w:type="dxa"/>
        <w:jc w:val="start"/>
        <w:tblInd w:w="-70" w:type="dxa"/>
        <w:tblLayout w:type="fixed"/>
        <w:tblCellMar>
          <w:top w:w="0" w:type="dxa"/>
          <w:start w:w="70" w:type="dxa"/>
          <w:bottom w:w="0" w:type="dxa"/>
          <w:end w:w="70" w:type="dxa"/>
        </w:tblCellMar>
      </w:tblPr>
      <w:tblGrid>
        <w:gridCol w:w="1339"/>
        <w:gridCol w:w="480"/>
      </w:tblGrid>
      <w:tr>
        <w:trPr/>
        <w:tc>
          <w:tcPr>
            <w:tcW w:w="1339" w:type="dxa"/>
            <w:tcBorders/>
          </w:tcPr>
          <w:p>
            <w:pPr>
              <w:pStyle w:val="T4dispositie"/>
              <w:rPr>
                <w:i/>
                <w:i/>
                <w:iCs/>
              </w:rPr>
            </w:pPr>
            <w:r>
              <w:rPr>
                <w:i/>
                <w:iCs/>
              </w:rPr>
              <w:t>Manuaal</w:t>
            </w:r>
          </w:p>
          <w:p>
            <w:pPr>
              <w:pStyle w:val="T4dispositie"/>
              <w:rPr/>
            </w:pPr>
            <w:r>
              <w:rPr/>
              <w:t>Bourdon</w:t>
            </w:r>
          </w:p>
          <w:p>
            <w:pPr>
              <w:pStyle w:val="T4dispositie"/>
              <w:rPr/>
            </w:pPr>
            <w:r>
              <w:rPr/>
              <w:t>Prestant</w:t>
            </w:r>
          </w:p>
          <w:p>
            <w:pPr>
              <w:pStyle w:val="T4dispositie"/>
              <w:rPr/>
            </w:pPr>
            <w:r>
              <w:rPr/>
              <w:t>Holpijp</w:t>
            </w:r>
          </w:p>
          <w:p>
            <w:pPr>
              <w:pStyle w:val="T4dispositie"/>
              <w:rPr/>
            </w:pPr>
            <w:r>
              <w:rPr/>
              <w:t>Gamba</w:t>
            </w:r>
          </w:p>
          <w:p>
            <w:pPr>
              <w:pStyle w:val="T4dispositie"/>
              <w:rPr>
                <w:lang w:val="fr-FR"/>
              </w:rPr>
            </w:pPr>
            <w:r>
              <w:rPr>
                <w:lang w:val="fr-FR"/>
              </w:rPr>
              <w:t>Vox celeste</w:t>
            </w:r>
          </w:p>
          <w:p>
            <w:pPr>
              <w:pStyle w:val="T4dispositie"/>
              <w:rPr>
                <w:lang w:val="fr-FR"/>
              </w:rPr>
            </w:pPr>
            <w:r>
              <w:rPr>
                <w:lang w:val="fr-FR"/>
              </w:rPr>
              <w:t>Prestant</w:t>
            </w:r>
          </w:p>
          <w:p>
            <w:pPr>
              <w:pStyle w:val="T4dispositie"/>
              <w:rPr>
                <w:lang w:val="fr-FR"/>
              </w:rPr>
            </w:pPr>
            <w:r>
              <w:rPr>
                <w:lang w:val="fr-FR"/>
              </w:rPr>
              <w:t>Fluit</w:t>
            </w:r>
          </w:p>
          <w:p>
            <w:pPr>
              <w:pStyle w:val="T4dispositie"/>
              <w:rPr>
                <w:lang w:val="fr-FR"/>
              </w:rPr>
            </w:pPr>
            <w:r>
              <w:rPr>
                <w:lang w:val="fr-FR"/>
              </w:rPr>
              <w:t>Quint</w:t>
            </w:r>
          </w:p>
          <w:p>
            <w:pPr>
              <w:pStyle w:val="T4dispositie"/>
              <w:rPr>
                <w:lang w:val="fr-FR"/>
              </w:rPr>
            </w:pPr>
            <w:r>
              <w:rPr>
                <w:lang w:val="fr-FR"/>
              </w:rPr>
              <w:t>Octaaf</w:t>
            </w:r>
          </w:p>
          <w:p>
            <w:pPr>
              <w:pStyle w:val="T4dispositie"/>
              <w:rPr>
                <w:lang w:val="fr-FR"/>
              </w:rPr>
            </w:pPr>
            <w:r>
              <w:rPr>
                <w:lang w:val="fr-FR"/>
              </w:rPr>
              <w:t>Trompette</w:t>
            </w:r>
          </w:p>
        </w:tc>
        <w:tc>
          <w:tcPr>
            <w:tcW w:w="480" w:type="dxa"/>
            <w:tcBorders/>
          </w:tcPr>
          <w:p>
            <w:pPr>
              <w:pStyle w:val="T4dispositie"/>
              <w:snapToGrid w:val="false"/>
              <w:rPr>
                <w:lang w:val="fr-FR"/>
              </w:rPr>
            </w:pPr>
            <w:r>
              <w:rPr>
                <w:lang w:val="fr-FR"/>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J. Hoogenes 1976</w:t>
      </w:r>
    </w:p>
    <w:p>
      <w:pPr>
        <w:pStyle w:val="T1"/>
        <w:numPr>
          <w:ilvl w:val="0"/>
          <w:numId w:val="3"/>
        </w:numPr>
        <w:jc w:val="start"/>
        <w:rPr>
          <w:lang w:val="nl-NL"/>
        </w:rPr>
      </w:pPr>
      <w:r>
        <w:rPr>
          <w:lang w:val="nl-NL"/>
        </w:rPr>
        <w:t>nieuw handklavier</w:t>
      </w:r>
    </w:p>
    <w:p>
      <w:pPr>
        <w:pStyle w:val="T1"/>
        <w:numPr>
          <w:ilvl w:val="0"/>
          <w:numId w:val="3"/>
        </w:numPr>
        <w:jc w:val="start"/>
        <w:rPr>
          <w:lang w:val="nl-NL"/>
        </w:rPr>
      </w:pPr>
      <w:r>
        <w:rPr>
          <w:lang w:val="nl-NL"/>
        </w:rPr>
        <w:t>windlade gewijzigd</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Man - Bourdon 16', - Vox celeste 8', + Mixtuur, + Sexquialter; Trompette 8' vervangen</w:t>
      </w:r>
    </w:p>
    <w:p>
      <w:pPr>
        <w:pStyle w:val="T1"/>
        <w:ind w:start="708" w:hanging="0"/>
        <w:jc w:val="start"/>
        <w:rPr>
          <w:lang w:val="nl-NL"/>
        </w:rPr>
      </w:pPr>
      <w:r>
        <w:rPr>
          <w:lang w:val="nl-NL"/>
        </w:rPr>
        <w:t>Ped + Bourdon 16' (van oude Bourdon Man)</w:t>
      </w:r>
    </w:p>
    <w:p>
      <w:pPr>
        <w:pStyle w:val="T1"/>
        <w:jc w:val="start"/>
        <w:rPr>
          <w:lang w:val="nl-NL"/>
        </w:rPr>
      </w:pPr>
      <w:r>
        <w:rPr>
          <w:lang w:val="nl-NL"/>
        </w:rPr>
      </w:r>
    </w:p>
    <w:p>
      <w:pPr>
        <w:pStyle w:val="T1"/>
        <w:jc w:val="start"/>
        <w:rPr>
          <w:lang w:val="nl-NL"/>
        </w:rPr>
      </w:pPr>
      <w:r>
        <w:rPr>
          <w:lang w:val="nl-NL"/>
        </w:rPr>
        <w:t>H. van Eeken 2002</w:t>
      </w:r>
    </w:p>
    <w:p>
      <w:pPr>
        <w:pStyle w:val="T1"/>
        <w:numPr>
          <w:ilvl w:val="0"/>
          <w:numId w:val="2"/>
        </w:numPr>
        <w:jc w:val="start"/>
        <w:rPr>
          <w:lang w:val="nl-NL"/>
        </w:rPr>
      </w:pPr>
      <w:r>
        <w:rPr>
          <w:lang w:val="nl-NL"/>
        </w:rPr>
        <w:t>nieuw orgel met behoud frontzijde oude kas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Superoctaaf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5 st.</w:t>
            </w:r>
          </w:p>
          <w:p>
            <w:pPr>
              <w:pStyle w:val="T4dispositie"/>
              <w:rPr>
                <w:lang w:val="nl-NL"/>
              </w:rPr>
            </w:pPr>
            <w:r>
              <w:rPr>
                <w:lang w:val="nl-NL"/>
              </w:rPr>
              <w:t>8'</w:t>
            </w:r>
          </w:p>
        </w:tc>
        <w:tc>
          <w:tcPr>
            <w:tcW w:w="1440" w:type="dxa"/>
            <w:tcBorders/>
          </w:tcPr>
          <w:p>
            <w:pPr>
              <w:pStyle w:val="T4dispositie"/>
              <w:rPr>
                <w:i/>
                <w:i/>
                <w:lang w:val="nl-NL"/>
              </w:rPr>
            </w:pPr>
            <w:r>
              <w:rPr>
                <w:i/>
                <w:lang w:val="nl-NL"/>
              </w:rPr>
              <w:t>Onderpositief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Gedekte Fluit</w:t>
            </w:r>
          </w:p>
          <w:p>
            <w:pPr>
              <w:pStyle w:val="T4dispositie"/>
              <w:rPr>
                <w:lang w:val="nl-NL"/>
              </w:rPr>
            </w:pPr>
            <w:r>
              <w:rPr>
                <w:lang w:val="nl-NL"/>
              </w:rPr>
              <w:t>Gemshoorn</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sz w:val="20"/>
          <w:lang w:val="nl-NL"/>
        </w:rPr>
      </w:pPr>
      <w:r>
        <w:rPr>
          <w:sz w:val="20"/>
          <w:lang w:val="nl-NL"/>
        </w:rPr>
      </w:r>
    </w:p>
    <w:p>
      <w:pPr>
        <w:pStyle w:val="T1"/>
        <w:jc w:val="start"/>
        <w:rPr>
          <w:sz w:val="20"/>
          <w:lang w:val="nl-NL"/>
        </w:rPr>
      </w:pPr>
      <w:r>
        <w:rPr>
          <w:sz w:val="20"/>
          <w:lang w:val="nl-NL"/>
        </w:rPr>
        <w:t>* gereserveerd</w:t>
      </w:r>
    </w:p>
    <w:p>
      <w:pPr>
        <w:pStyle w:val="T1"/>
        <w:jc w:val="start"/>
        <w:rPr>
          <w:sz w:val="20"/>
          <w:lang w:val="nl-NL"/>
        </w:rPr>
      </w:pPr>
      <w:r>
        <w:rPr>
          <w:sz w:val="20"/>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vacant (loze knop voor symmetrie)</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2869" w:type="dxa"/>
        <w:jc w:val="start"/>
        <w:tblInd w:w="-108" w:type="dxa"/>
        <w:tblLayout w:type="fixed"/>
        <w:tblCellMar>
          <w:top w:w="0" w:type="dxa"/>
          <w:start w:w="108" w:type="dxa"/>
          <w:bottom w:w="0" w:type="dxa"/>
          <w:end w:w="108" w:type="dxa"/>
        </w:tblCellMar>
      </w:tblPr>
      <w:tblGrid>
        <w:gridCol w:w="1003"/>
        <w:gridCol w:w="622"/>
        <w:gridCol w:w="622"/>
        <w:gridCol w:w="622"/>
      </w:tblGrid>
      <w:tr>
        <w:trPr/>
        <w:tc>
          <w:tcPr>
            <w:tcW w:w="1003"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622" w:type="dxa"/>
            <w:tcBorders/>
          </w:tcPr>
          <w:p>
            <w:pPr>
              <w:pStyle w:val="Normal"/>
              <w:rPr>
                <w:rFonts w:ascii="Times New Roman" w:hAnsi="Times New Roman" w:cs="Times New Roman"/>
                <w:sz w:val="20"/>
              </w:rPr>
            </w:pPr>
            <w:r>
              <w:rPr>
                <w:rFonts w:cs="Times New Roman" w:ascii="Times New Roman" w:hAnsi="Times New Roman"/>
                <w:sz w:val="20"/>
              </w:rPr>
              <w:t>C</w:t>
            </w:r>
          </w:p>
          <w:p>
            <w:pPr>
              <w:pStyle w:val="Normal"/>
              <w:rPr>
                <w:rFonts w:ascii="Times New Roman" w:hAnsi="Times New Roman" w:cs="Times New Roman"/>
                <w:sz w:val="20"/>
              </w:rPr>
            </w:pPr>
            <w:r>
              <w:rPr>
                <w:rFonts w:cs="Times New Roman" w:ascii="Times New Roman" w:hAnsi="Times New Roman"/>
                <w:sz w:val="20"/>
              </w:rPr>
              <w:t>2</w:t>
            </w:r>
          </w:p>
          <w:p>
            <w:pPr>
              <w:pStyle w:val="Normal"/>
              <w:rPr>
                <w:rFonts w:ascii="Times New Roman" w:hAnsi="Times New Roman" w:cs="Times New Roman"/>
                <w:sz w:val="20"/>
              </w:rPr>
            </w:pPr>
            <w:r>
              <w:rPr>
                <w:rFonts w:cs="Times New Roman" w:ascii="Times New Roman" w:hAnsi="Times New Roman"/>
                <w:sz w:val="20"/>
              </w:rPr>
              <w:t>1 1/3</w:t>
            </w:r>
          </w:p>
          <w:p>
            <w:pPr>
              <w:pStyle w:val="Normal"/>
              <w:rPr>
                <w:rFonts w:ascii="Times New Roman" w:hAnsi="Times New Roman" w:cs="Times New Roman"/>
                <w:sz w:val="20"/>
              </w:rPr>
            </w:pPr>
            <w:r>
              <w:rPr>
                <w:rFonts w:cs="Times New Roman" w:ascii="Times New Roman" w:hAnsi="Times New Roman"/>
                <w:sz w:val="20"/>
              </w:rPr>
              <w:t>1</w:t>
            </w:r>
          </w:p>
        </w:tc>
        <w:tc>
          <w:tcPr>
            <w:tcW w:w="622" w:type="dxa"/>
            <w:tcBorders/>
          </w:tcPr>
          <w:p>
            <w:pPr>
              <w:pStyle w:val="Normal"/>
              <w:rPr/>
            </w:pPr>
            <w:r>
              <w:rPr>
                <w:rFonts w:cs="Times New Roman" w:ascii="Times New Roman" w:hAnsi="Times New Roman"/>
                <w:sz w:val="20"/>
              </w:rPr>
              <w:t>c</w:t>
            </w:r>
            <w:r>
              <w:rPr>
                <w:rFonts w:cs="Times New Roman" w:ascii="Times New Roman" w:hAnsi="Times New Roman"/>
                <w:sz w:val="20"/>
                <w:vertAlign w:val="superscript"/>
              </w:rPr>
              <w:t>1</w:t>
            </w:r>
          </w:p>
          <w:p>
            <w:pPr>
              <w:pStyle w:val="Normal"/>
              <w:rPr>
                <w:rFonts w:ascii="Times New Roman" w:hAnsi="Times New Roman" w:cs="Times New Roman"/>
                <w:sz w:val="20"/>
              </w:rPr>
            </w:pPr>
            <w:r>
              <w:rPr>
                <w:rFonts w:cs="Times New Roman" w:ascii="Times New Roman" w:hAnsi="Times New Roman"/>
                <w:sz w:val="20"/>
              </w:rPr>
              <w:t>2 2/3</w:t>
            </w:r>
          </w:p>
          <w:p>
            <w:pPr>
              <w:pStyle w:val="Normal"/>
              <w:rPr>
                <w:rFonts w:ascii="Times New Roman" w:hAnsi="Times New Roman" w:cs="Times New Roman"/>
                <w:sz w:val="20"/>
              </w:rPr>
            </w:pPr>
            <w:r>
              <w:rPr>
                <w:rFonts w:cs="Times New Roman" w:ascii="Times New Roman" w:hAnsi="Times New Roman"/>
                <w:sz w:val="20"/>
              </w:rPr>
              <w:t>2</w:t>
            </w:r>
          </w:p>
          <w:p>
            <w:pPr>
              <w:pStyle w:val="Normal"/>
              <w:rPr>
                <w:rFonts w:ascii="Times New Roman" w:hAnsi="Times New Roman" w:cs="Times New Roman"/>
                <w:sz w:val="20"/>
              </w:rPr>
            </w:pPr>
            <w:r>
              <w:rPr>
                <w:rFonts w:cs="Times New Roman" w:ascii="Times New Roman" w:hAnsi="Times New Roman"/>
                <w:sz w:val="20"/>
              </w:rPr>
              <w:t>1 1/3</w:t>
            </w:r>
          </w:p>
        </w:tc>
        <w:tc>
          <w:tcPr>
            <w:tcW w:w="622" w:type="dxa"/>
            <w:tcBorders/>
          </w:tcPr>
          <w:p>
            <w:pPr>
              <w:pStyle w:val="Normal"/>
              <w:rPr/>
            </w:pPr>
            <w:r>
              <w:rPr>
                <w:rFonts w:cs="Times New Roman" w:ascii="Times New Roman" w:hAnsi="Times New Roman"/>
                <w:sz w:val="20"/>
              </w:rPr>
              <w:t>c</w:t>
            </w:r>
            <w:r>
              <w:rPr>
                <w:rFonts w:cs="Times New Roman" w:ascii="Times New Roman" w:hAnsi="Times New Roman"/>
                <w:sz w:val="20"/>
                <w:vertAlign w:val="superscript"/>
              </w:rPr>
              <w:t>2</w:t>
            </w:r>
          </w:p>
          <w:p>
            <w:pPr>
              <w:pStyle w:val="Normal"/>
              <w:rPr>
                <w:rFonts w:ascii="Times New Roman" w:hAnsi="Times New Roman" w:cs="Times New Roman"/>
                <w:sz w:val="20"/>
              </w:rPr>
            </w:pPr>
            <w:r>
              <w:rPr>
                <w:rFonts w:cs="Times New Roman" w:ascii="Times New Roman" w:hAnsi="Times New Roman"/>
                <w:sz w:val="20"/>
              </w:rPr>
              <w:t>4</w:t>
            </w:r>
          </w:p>
          <w:p>
            <w:pPr>
              <w:pStyle w:val="Normal"/>
              <w:rPr>
                <w:rFonts w:ascii="Times New Roman" w:hAnsi="Times New Roman" w:cs="Times New Roman"/>
                <w:sz w:val="20"/>
              </w:rPr>
            </w:pPr>
            <w:r>
              <w:rPr>
                <w:rFonts w:cs="Times New Roman" w:ascii="Times New Roman" w:hAnsi="Times New Roman"/>
                <w:sz w:val="20"/>
              </w:rPr>
              <w:t>2 2/3</w:t>
            </w:r>
          </w:p>
          <w:p>
            <w:pPr>
              <w:pStyle w:val="Normal"/>
              <w:rPr>
                <w:rFonts w:ascii="Times New Roman" w:hAnsi="Times New Roman" w:cs="Times New Roman"/>
                <w:sz w:val="20"/>
              </w:rPr>
            </w:pPr>
            <w:r>
              <w:rPr>
                <w:rFonts w:cs="Times New Roman" w:ascii="Times New Roman" w:hAnsi="Times New Roman"/>
                <w:sz w:val="20"/>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8 - 4 - 2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421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één spaanbalg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55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achterzijde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windlade, de klaviatuur en de mechanieken zijn in Vollebregt-factuur en -detaillering vervaardigd. Verder is enig pijpwerk van Vollebregt gebruikt. Dit materiaal is aanwezig in de registers Octaaf 4' (Gis-g</w:t>
      </w:r>
      <w:r>
        <w:rPr>
          <w:vertAlign w:val="superscript"/>
          <w:lang w:val="nl-NL"/>
        </w:rPr>
        <w:t>2</w:t>
      </w:r>
      <w:r>
        <w:rPr>
          <w:lang w:val="nl-NL"/>
        </w:rPr>
        <w:t xml:space="preserve"> en a</w:t>
      </w:r>
      <w:r>
        <w:rPr>
          <w:vertAlign w:val="superscript"/>
          <w:lang w:val="nl-NL"/>
        </w:rPr>
        <w:t>2</w:t>
      </w:r>
      <w:r>
        <w:rPr>
          <w:lang w:val="nl-NL"/>
        </w:rPr>
        <w:t>-e</w:t>
      </w:r>
      <w:r>
        <w:rPr>
          <w:vertAlign w:val="superscript"/>
          <w:lang w:val="nl-NL"/>
        </w:rPr>
        <w:t>3</w:t>
      </w:r>
      <w:r>
        <w:rPr>
          <w:lang w:val="nl-NL"/>
        </w:rPr>
        <w:t>), Cornet (acht-voets koor) en Fluit 4' (c-f</w:t>
      </w:r>
      <w:r>
        <w:rPr>
          <w:vertAlign w:val="superscript"/>
          <w:lang w:val="nl-NL"/>
        </w:rPr>
        <w:t>3</w:t>
      </w:r>
      <w:r>
        <w:rPr>
          <w:lang w:val="nl-NL"/>
        </w:rPr>
        <w:t>).</w:t>
      </w:r>
    </w:p>
    <w:p>
      <w:pPr>
        <w:pStyle w:val="T1"/>
        <w:jc w:val="start"/>
        <w:rPr>
          <w:lang w:val="nl-NL"/>
        </w:rPr>
      </w:pPr>
      <w:r>
        <w:rPr>
          <w:lang w:val="nl-NL"/>
        </w:rPr>
        <w:t>C-Fis van de Prestant 8' zijn van eiken (gedekt), G-a staan in het front (torens); de overige pijpen staan op de lade. C-H van de Holpijp 8' zijn van eiken (gedekt). C-H van de Bourdon 8' (OP) zijn van eiken (gedekt). De Viola di Gamba 8' is van C-H gecombineerd met de Bourdon. C-H van de Fluit 4' dateren uit 2002, het overige pijpwerk is van Vollebregt. De nieuwe Gemshoorn 2' is conisch. De Bourdon 16' van het Ped is geheel van eiken (gedekt).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pPr>
    <w:rPr>
      <w:rFonts w:ascii="Times New Roman" w:hAnsi="Times New Roman" w:cs="Times New Roman"/>
      <w:spacing w:val="-3"/>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LibreOffice/7.2.1.2$MacOSX_X86_64 LibreOffice_project/87b77fad49947c1441b67c559c339af8f3517e22</Application>
  <AppVersion>15.0000</AppVersion>
  <Pages>3</Pages>
  <Words>751</Words>
  <Characters>4059</Characters>
  <CharactersWithSpaces>4679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2008-05-05T14:14:00Z</dcterms:created>
  <dc:creator>WS1</dc:creator>
  <dc:description/>
  <dc:language>en-US</dc:language>
  <cp:lastModifiedBy>NIvO</cp:lastModifiedBy>
  <dcterms:modified xsi:type="dcterms:W3CDTF">2008-05-13T10:26:00Z</dcterms:modified>
  <cp:revision>3</cp:revision>
  <dc:subject/>
  <dc:title>Olst / 1880</dc:title>
</cp:coreProperties>
</file>