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Langezwaag (Langsweagen) / 1901</w:t>
      </w:r>
    </w:p>
    <w:p>
      <w:pPr>
        <w:pStyle w:val="Heading2"/>
        <w:rPr>
          <w:i w:val="false"/>
          <w:i w:val="false"/>
          <w:iCs/>
        </w:rPr>
      </w:pPr>
      <w:r>
        <w:rPr>
          <w:i w:val="false"/>
          <w:iCs/>
        </w:rPr>
        <w:t>Hervormde Kerk</w:t>
      </w:r>
    </w:p>
    <w:p>
      <w:pPr>
        <w:pStyle w:val="T1"/>
        <w:jc w:val="start"/>
        <w:rPr>
          <w:i/>
          <w:i/>
          <w:iCs/>
        </w:rPr>
      </w:pPr>
      <w:r>
        <w:rPr>
          <w:i/>
          <w:iCs/>
        </w:rPr>
      </w:r>
    </w:p>
    <w:p>
      <w:pPr>
        <w:pStyle w:val="T1"/>
        <w:jc w:val="start"/>
        <w:rPr>
          <w:i/>
          <w:i/>
          <w:iCs/>
          <w:lang w:val="nl-NL"/>
        </w:rPr>
      </w:pPr>
      <w:r>
        <w:rPr>
          <w:i/>
          <w:iCs/>
          <w:lang w:val="nl-NL"/>
        </w:rPr>
        <w:t>Driezijdig gesloten zaalkerk met forse ingebouwde toren, gebouwd in 1781 ter vervanging van een oudere kerk. Avondmaalstafel 17e-eeuws, kansel eind 18e-eeuws, enkele gebeeldhouwde zerken uit de 17e en 18e eeuw.</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Smaakvol, maar door de geringe hoogte wat gezet uitgevallen voorbeeld van de reeks identieke Bakker &amp; Timmenga-fronten die met het orgel van Wouterswoude (1894) een aanvang nam.</w:t>
      </w:r>
    </w:p>
    <w:p>
      <w:pPr>
        <w:pStyle w:val="T2Kunst"/>
        <w:jc w:val="start"/>
        <w:rPr>
          <w:lang w:val="nl-NL"/>
        </w:rPr>
      </w:pPr>
      <w:r>
        <w:rPr>
          <w:lang w:val="nl-NL"/>
        </w:rPr>
        <w:t>Het snijwerk is sober van uitvoering. Bij de pijpvoeten geen blinderingen, bij de velden alleen een eenvoudig rankje, in de torens tamelijk vlezige combinaties van C-voluten en plantaardige vormen met middenin telkens een lelie-motiefje.</w:t>
      </w:r>
    </w:p>
    <w:p>
      <w:pPr>
        <w:pStyle w:val="T2Kunst"/>
        <w:jc w:val="start"/>
        <w:rPr>
          <w:lang w:val="nl-NL"/>
        </w:rPr>
      </w:pPr>
      <w:r>
        <w:rPr>
          <w:lang w:val="nl-NL"/>
        </w:rPr>
        <w:t>Opzetstukken met overeenkomstige thema’s. Vanwege de geringe hoogte van de kerk te Gaast kon het opzetstuk van de middentoren niet hoger worden uitgevoerd en rust de lier hier rechtstreeks op de kap. De lier wordt omlijst door naar weerskanten uitlopend vegetatief ornament. In de vleugels plantaardige motieven in een kader van voluutvormen. De in Gaast aangetroffen kleurstelling is bij de verhuizing naar Langezwaag aangehouden.</w:t>
      </w:r>
    </w:p>
    <w:p>
      <w:pPr>
        <w:pStyle w:val="Normal"/>
        <w:rPr>
          <w:lang w:val="nl-NL"/>
        </w:rPr>
      </w:pPr>
      <w:r>
        <w:rPr>
          <w:lang w:val="nl-NL"/>
        </w:rPr>
      </w:r>
    </w:p>
    <w:p>
      <w:pPr>
        <w:pStyle w:val="T3Lit"/>
        <w:rPr>
          <w:b/>
          <w:b/>
          <w:bCs/>
          <w:lang w:val="nl-NL"/>
        </w:rPr>
      </w:pPr>
      <w:r>
        <w:rPr>
          <w:b/>
          <w:bCs/>
          <w:lang w:val="nl-NL"/>
        </w:rPr>
        <w:t>Literatuur</w:t>
      </w:r>
    </w:p>
    <w:p>
      <w:pPr>
        <w:pStyle w:val="T3Lit"/>
        <w:jc w:val="start"/>
        <w:rPr>
          <w:lang w:val="nl-NL"/>
        </w:rPr>
      </w:pPr>
      <w:r>
        <w:rPr>
          <w:iCs/>
          <w:lang w:val="nl-NL"/>
        </w:rPr>
        <w:t xml:space="preserve">Jan Jongepier, </w:t>
      </w:r>
      <w:r>
        <w:rPr>
          <w:i/>
          <w:iCs/>
          <w:lang w:val="nl-NL"/>
        </w:rPr>
        <w:t>Vijf eeuwen Friese orgelbouw.</w:t>
      </w:r>
      <w:r>
        <w:rPr>
          <w:iCs/>
          <w:lang w:val="nl-NL"/>
        </w:rPr>
        <w:t xml:space="preserve"> Leeuwarden, 2004, 195.</w:t>
      </w:r>
    </w:p>
    <w:p>
      <w:pPr>
        <w:pStyle w:val="T3Lit"/>
        <w:rPr>
          <w:lang w:val="nl-NL"/>
        </w:rPr>
      </w:pPr>
      <w:r>
        <w:rPr>
          <w:lang w:val="nl-NL"/>
        </w:rPr>
      </w:r>
    </w:p>
    <w:p>
      <w:pPr>
        <w:pStyle w:val="T3Lit"/>
        <w:rPr>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pPr>
      <w:r>
        <w:rPr>
          <w:lang w:val="nl-NL"/>
        </w:rPr>
        <w:t xml:space="preserve">Jan Jongepier, </w:t>
      </w:r>
      <w:r>
        <w:rPr>
          <w:i/>
          <w:iCs/>
          <w:lang w:val="nl-NL"/>
        </w:rPr>
        <w:t>Rapport over het orgel in de Gereformeerde kerk te Gaast</w:t>
      </w:r>
      <w:r>
        <w:rPr>
          <w:lang w:val="nl-NL"/>
        </w:rPr>
        <w:t>. Leeuwarden, 1991.</w:t>
      </w:r>
    </w:p>
    <w:p>
      <w:pPr>
        <w:pStyle w:val="T3Lit"/>
        <w:jc w:val="start"/>
        <w:rPr>
          <w:lang w:val="nl-NL"/>
        </w:rPr>
      </w:pPr>
      <w:r>
        <w:rPr>
          <w:lang w:val="nl-NL"/>
        </w:rPr>
      </w:r>
    </w:p>
    <w:p>
      <w:pPr>
        <w:pStyle w:val="T3Lit"/>
        <w:rPr>
          <w:lang w:val="nl-NL"/>
        </w:rPr>
      </w:pPr>
      <w:r>
        <w:rPr>
          <w:lang w:val="nl-NL"/>
        </w:rPr>
        <w:t>Monumentnummer 31858</w:t>
      </w:r>
    </w:p>
    <w:p>
      <w:pPr>
        <w:pStyle w:val="T3Lit"/>
        <w:rPr>
          <w:lang w:val="nl-NL"/>
        </w:rPr>
      </w:pPr>
      <w:r>
        <w:rPr>
          <w:lang w:val="nl-NL"/>
        </w:rPr>
        <w:t>Orgelnummer 827</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Gaast, Gereformeerde Kerk</w:t>
      </w:r>
    </w:p>
    <w:p>
      <w:pPr>
        <w:pStyle w:val="T1"/>
        <w:jc w:val="start"/>
        <w:rPr>
          <w:lang w:val="nl-NL"/>
        </w:rPr>
      </w:pPr>
      <w:r>
        <w:rPr>
          <w:lang w:val="nl-NL"/>
        </w:rPr>
      </w:r>
    </w:p>
    <w:p>
      <w:pPr>
        <w:pStyle w:val="T1"/>
        <w:jc w:val="start"/>
        <w:rPr>
          <w:lang w:val="nl-NL"/>
        </w:rPr>
      </w:pPr>
      <w:r>
        <w:rPr>
          <w:lang w:val="nl-NL"/>
        </w:rPr>
        <w:t>Bakker &amp; Timmenga 1951</w:t>
      </w:r>
    </w:p>
    <w:p>
      <w:pPr>
        <w:pStyle w:val="T1"/>
        <w:numPr>
          <w:ilvl w:val="0"/>
          <w:numId w:val="3"/>
        </w:numPr>
        <w:jc w:val="start"/>
        <w:rPr>
          <w:lang w:val="nl-NL"/>
        </w:rPr>
      </w:pPr>
      <w:r>
        <w:rPr>
          <w:lang w:val="nl-NL"/>
        </w:rPr>
        <w:t>nieuw klavierbeleg van celluloid aangebracht</w:t>
      </w:r>
    </w:p>
    <w:p>
      <w:pPr>
        <w:pStyle w:val="T1"/>
        <w:jc w:val="start"/>
        <w:rPr>
          <w:lang w:val="nl-NL"/>
        </w:rPr>
      </w:pPr>
      <w:r>
        <w:rPr>
          <w:lang w:val="nl-NL"/>
        </w:rPr>
      </w:r>
    </w:p>
    <w:p>
      <w:pPr>
        <w:pStyle w:val="T1"/>
        <w:jc w:val="start"/>
        <w:rPr>
          <w:lang w:val="nl-NL"/>
        </w:rPr>
      </w:pPr>
      <w:r>
        <w:rPr>
          <w:lang w:val="nl-NL"/>
        </w:rPr>
        <w:t>Bakker &amp; Timmenga 1959</w:t>
      </w:r>
    </w:p>
    <w:p>
      <w:pPr>
        <w:pStyle w:val="T1"/>
        <w:numPr>
          <w:ilvl w:val="0"/>
          <w:numId w:val="3"/>
        </w:numPr>
        <w:jc w:val="start"/>
        <w:rPr>
          <w:lang w:val="nl-NL"/>
        </w:rPr>
      </w:pPr>
      <w:r>
        <w:rPr>
          <w:lang w:val="nl-NL"/>
        </w:rPr>
        <w:t>houten pijpen vernieuwd wegens houtwormaantasting</w:t>
      </w:r>
    </w:p>
    <w:p>
      <w:pPr>
        <w:pStyle w:val="T1"/>
        <w:numPr>
          <w:ilvl w:val="0"/>
          <w:numId w:val="3"/>
        </w:numPr>
        <w:jc w:val="start"/>
        <w:rPr>
          <w:lang w:val="nl-NL"/>
        </w:rPr>
      </w:pPr>
      <w:r>
        <w:rPr>
          <w:lang w:val="nl-NL"/>
        </w:rPr>
        <w:t>registerknoppen vernieuwd (met behoud van oude porseleinen naamplaatjes)</w:t>
      </w:r>
    </w:p>
    <w:p>
      <w:pPr>
        <w:pStyle w:val="T1"/>
        <w:jc w:val="start"/>
        <w:rPr>
          <w:lang w:val="nl-NL"/>
        </w:rPr>
      </w:pPr>
      <w:r>
        <w:rPr>
          <w:lang w:val="nl-NL"/>
        </w:rPr>
      </w:r>
    </w:p>
    <w:p>
      <w:pPr>
        <w:pStyle w:val="T1"/>
        <w:jc w:val="start"/>
        <w:rPr>
          <w:lang w:val="nl-NL"/>
        </w:rPr>
      </w:pPr>
      <w:r>
        <w:rPr>
          <w:lang w:val="nl-NL"/>
        </w:rPr>
        <w:t>1991</w:t>
      </w:r>
    </w:p>
    <w:p>
      <w:pPr>
        <w:pStyle w:val="T1"/>
        <w:numPr>
          <w:ilvl w:val="0"/>
          <w:numId w:val="2"/>
        </w:numPr>
        <w:jc w:val="start"/>
        <w:rPr>
          <w:lang w:val="nl-NL"/>
        </w:rPr>
      </w:pPr>
      <w:r>
        <w:rPr>
          <w:lang w:val="nl-NL"/>
        </w:rPr>
        <w:t>orgel verkocht aan Hervormde Gemeente, Langezwaag</w:t>
      </w:r>
    </w:p>
    <w:p>
      <w:pPr>
        <w:pStyle w:val="T1"/>
        <w:jc w:val="start"/>
        <w:rPr>
          <w:lang w:val="nl-NL"/>
        </w:rPr>
      </w:pPr>
      <w:r>
        <w:rPr>
          <w:lang w:val="nl-NL"/>
        </w:rPr>
      </w:r>
    </w:p>
    <w:p>
      <w:pPr>
        <w:pStyle w:val="T1"/>
        <w:jc w:val="start"/>
        <w:rPr>
          <w:lang w:val="nl-NL"/>
        </w:rPr>
      </w:pPr>
      <w:r>
        <w:rPr>
          <w:lang w:val="nl-NL"/>
        </w:rPr>
        <w:t>Orgelmakerij Bakker &amp; Timmenga 1993</w:t>
      </w:r>
    </w:p>
    <w:p>
      <w:pPr>
        <w:pStyle w:val="T1"/>
        <w:numPr>
          <w:ilvl w:val="0"/>
          <w:numId w:val="2"/>
        </w:numPr>
        <w:jc w:val="start"/>
        <w:rPr>
          <w:lang w:val="nl-NL"/>
        </w:rPr>
      </w:pPr>
      <w:r>
        <w:rPr>
          <w:lang w:val="nl-NL"/>
        </w:rPr>
        <w:t>orgel gerestaureerd en overgeplaatst naar Langezwaag, Hervormde Kerk</w:t>
      </w:r>
    </w:p>
    <w:p>
      <w:pPr>
        <w:pStyle w:val="T1"/>
        <w:numPr>
          <w:ilvl w:val="0"/>
          <w:numId w:val="2"/>
        </w:numPr>
        <w:jc w:val="start"/>
        <w:rPr/>
      </w:pPr>
      <w:r>
        <w:rPr/>
        <w:t>+ Cornet D 3 st.</w:t>
      </w:r>
    </w:p>
    <w:p>
      <w:pPr>
        <w:pStyle w:val="T1"/>
        <w:jc w:val="start"/>
        <w:rPr/>
      </w:pPr>
      <w: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szCs w:val="24"/>
          <w:vertAlign w:val="superscript"/>
          <w:lang w:val="nl-NL"/>
        </w:rPr>
        <w:t>1</w:t>
      </w:r>
      <w:r>
        <w:rPr>
          <w:sz w:val="20"/>
          <w:lang w:val="nl-NL"/>
        </w:rPr>
        <w:t xml:space="preserve">   2 2/3 - 2 - 1 3/5</w:t>
      </w:r>
    </w:p>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vertAlign w:val="superscript"/>
        </w:rPr>
      </w:pPr>
      <w:r>
        <w:rPr>
          <w:rFonts w:cs="Times New Roman" w:ascii="Times New Roman" w:hAnsi="Times New Roman"/>
          <w:szCs w:val="24"/>
        </w:rPr>
        <w:t>C-g</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 (1901)</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75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handklavier is een eiken staartklavier. Het eikenhouten pedaalklavier heeft korte boventoetsen van gelijke lengte. De registerknoppen zijn boven de lessenaar aangebracht.</w:t>
      </w:r>
    </w:p>
    <w:p>
      <w:pPr>
        <w:pStyle w:val="T1"/>
        <w:jc w:val="start"/>
        <w:rPr>
          <w:lang w:val="nl-NL"/>
        </w:rPr>
      </w:pPr>
      <w:r>
        <w:rPr>
          <w:lang w:val="nl-NL"/>
        </w:rPr>
        <w:t xml:space="preserve">In de onderkas is het windtoestel geplaatst. </w:t>
      </w:r>
    </w:p>
    <w:p>
      <w:pPr>
        <w:pStyle w:val="T1"/>
        <w:jc w:val="start"/>
        <w:rPr>
          <w:lang w:val="nl-NL"/>
        </w:rPr>
      </w:pPr>
      <w:r>
        <w:rPr>
          <w:lang w:val="nl-NL"/>
        </w:rPr>
        <w:t>De windlade is voor wat betreft het cancellenraam en de ventielkast van eiken, de ventielkast bezit drie opliggende voorslagen. De stokken en de roosters zijn van mahonie.</w:t>
      </w:r>
    </w:p>
    <w:p>
      <w:pPr>
        <w:pStyle w:val="T1"/>
        <w:jc w:val="start"/>
        <w:rPr/>
      </w:pPr>
      <w:r>
        <w:rPr>
          <w:lang w:val="nl-NL"/>
        </w:rPr>
        <w:t>De cancelvolgorde is (f aan de klaviatuurzijde): fis d B Gis c e gis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g dis H G A cis f</w:t>
      </w:r>
    </w:p>
    <w:p>
      <w:pPr>
        <w:pStyle w:val="T1"/>
        <w:jc w:val="start"/>
        <w:rPr/>
      </w:pPr>
      <w:r>
        <w:rPr>
          <w:lang w:val="nl-NL"/>
        </w:rPr>
        <w:t>De frontpijpen zijn van Engels tin. In het front spreken Fis-d</w:t>
      </w:r>
      <w:r>
        <w:rPr>
          <w:vertAlign w:val="superscript"/>
          <w:lang w:val="nl-NL"/>
        </w:rPr>
        <w:t>1</w:t>
      </w:r>
      <w:r>
        <w:rPr>
          <w:lang w:val="nl-NL"/>
        </w:rPr>
        <w:t xml:space="preserve"> van de Prestant 8'. Houten pijpen zijn toegepast voor de Prestant 8' (C-F) en de Bourdon 8' (C-H). Het metalen binnenpijpwerk is toegeleverd materiaal met geperste labia. De Voix Celeste is van C-H gecombineerd met de Prestant; de Viola di Gamba is van C-H gecombineerd met de Bourdon. De Fluit 4' is van C-f</w:t>
      </w:r>
      <w:r>
        <w:rPr>
          <w:vertAlign w:val="superscript"/>
          <w:lang w:val="nl-NL"/>
        </w:rPr>
        <w:t>2</w:t>
      </w:r>
      <w:r>
        <w:rPr>
          <w:lang w:val="nl-NL"/>
        </w:rPr>
        <w:t xml:space="preserve"> gedekt en verder open, conisch. Het in 1993 geleverde pijpwerk van de Cornet is afkomstig uit voorraad bij de restaurateur en dateert van omstreeks 1950. Ook bij dit pijpwerk zijn geperste labia toegepast.</w:t>
      </w:r>
    </w:p>
    <w:p>
      <w:pPr>
        <w:pStyle w:val="T1"/>
        <w:jc w:val="start"/>
        <w:rPr/>
      </w:pPr>
      <w:r>
        <w:rPr>
          <w:lang w:val="nl-NL"/>
        </w:rPr>
        <w:t>Expressions zijn aangebracht bij alle binnenpijpen van Prestant, Voix Celeste en Viola di Gamba, en daarnaast nog bij de Octaaf 4' (C-f</w:t>
      </w:r>
      <w:r>
        <w:rPr>
          <w:vertAlign w:val="superscript"/>
          <w:lang w:val="nl-NL"/>
        </w:rPr>
        <w:t>2</w:t>
      </w:r>
      <w:r>
        <w:rPr>
          <w:lang w:val="nl-NL"/>
        </w:rPr>
        <w:t>) en de Octaaf 2' (C-f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2008-05-05T14:14:00Z</dcterms:created>
  <dc:creator>WS1</dc:creator>
  <dc:description/>
  <dc:language>en-US</dc:language>
  <cp:lastModifiedBy>NIvO</cp:lastModifiedBy>
  <dcterms:modified xsi:type="dcterms:W3CDTF">2008-07-21T11:42:00Z</dcterms:modified>
  <cp:revision>4</cp:revision>
  <dc:subject/>
  <dc:title>Olst / 1880</dc:title>
</cp:coreProperties>
</file>