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Schagen / 1901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Monumentale neogotische kerk van J.A.G. van der Steur uit 1895-1897, gebouwd nadat het vorige kerkgebouw door brand was verwoest. Veelhoekig gesloten kapellen tegen de laatste schiptravee. Houten torenbekroning met schilderachtig silhouet. Eenvoudig interieur, bij een verbouwing iets verkleind.</w:t>
      </w:r>
    </w:p>
    <w:p>
      <w:pPr>
        <w:pStyle w:val="T1"/>
        <w:rPr>
          <w:i/>
          <w:i/>
          <w:iCs/>
          <w:lang w:val="nl-NL"/>
        </w:rPr>
      </w:pPr>
      <w:r>
        <w:rPr>
          <w:i/>
          <w:iCs/>
          <w:lang w:val="nl-NL"/>
        </w:rPr>
      </w:r>
    </w:p>
    <w:p>
      <w:pPr>
        <w:pStyle w:val="T1"/>
        <w:jc w:val="start"/>
        <w:rPr>
          <w:lang w:val="nl-NL"/>
        </w:rPr>
      </w:pPr>
      <w:r>
        <w:rPr>
          <w:lang w:val="nl-NL"/>
        </w:rPr>
        <w:t>Kas: 1901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het orgel te Schagen vindt zijn oorsprong in het ontwerp dat in Anjum (1875, deel 1872-1878, 178) voor het eerst werd toegepast. Kenmerkend is de monumentaliteit, die tot uiting komt in de vorm van een dubbelfront met de suggestie van een Onderpositief.</w:t>
      </w:r>
    </w:p>
    <w:p>
      <w:pPr>
        <w:pStyle w:val="T2Kunst"/>
        <w:jc w:val="start"/>
        <w:rPr>
          <w:lang w:val="nl-NL"/>
        </w:rPr>
      </w:pPr>
      <w:r>
        <w:rPr>
          <w:lang w:val="nl-NL"/>
        </w:rPr>
        <w:t>De orgelmakers Van Dam reserveerden dit ontwerp voor grotere instrumenten, voorzien van een vrij pedaal, of op zijn minst de gereserveerde ruimte daarvoor. Zesmaal is het ontwerp uitgevoerd, de helft hiervan bezat bij oplevering een vrij pedaal, bij de andere helft was er ruimte voor opengelaten.</w:t>
      </w:r>
    </w:p>
    <w:p>
      <w:pPr>
        <w:pStyle w:val="T2Kunst"/>
        <w:jc w:val="start"/>
        <w:rPr>
          <w:lang w:val="nl-NL"/>
        </w:rPr>
      </w:pPr>
      <w:r>
        <w:rPr>
          <w:lang w:val="nl-NL"/>
        </w:rPr>
        <w:t>Van deze zes orgels, waarvan er één (Gereformeerde Noorderkerk te Maassluis, 1904) door oorlogsgeweld verloren is gegaan, heeft het orgel van Schagen de grootste omvang in zowel dispositie als afmetingen. De orgelmakers Van Dam zagen kans ook dit ontwerp aan de plaatselijke omstandigheden aan te passen, zoals bijvoorbeeld blijkt uit de gedrongen versie die wegens hoogtegebrek in Buitenpost (1877, deel 1872-1878, 321) tot stand kwam, wat een significant contrast met het front van Schagen oplevert.</w:t>
      </w:r>
    </w:p>
    <w:p>
      <w:pPr>
        <w:pStyle w:val="T2Kunst"/>
        <w:jc w:val="start"/>
        <w:rPr/>
      </w:pPr>
      <w:r>
        <w:rPr>
          <w:lang w:val="nl-NL"/>
        </w:rPr>
        <w:t>De monumentaliteit van het front van Schagen heeft veel te maken met de omstandigheid dat op het Ped een Prestant 16</w:t>
      </w:r>
      <w:r>
        <w:rPr>
          <w:rFonts w:cs="Times New Roman" w:ascii="Times New Roman" w:hAnsi="Times New Roman"/>
          <w:lang w:val="nl-NL"/>
        </w:rPr>
        <w:t>'</w:t>
      </w:r>
      <w:r>
        <w:rPr>
          <w:lang w:val="nl-NL"/>
        </w:rPr>
        <w:t xml:space="preserve"> werd gedisponeerd, die vanaf G in het front werd geplaatst. Hierdoor komen de proporties en afmetingen van dit front in de buurt van het in 1877 voor de kerk van Nieuwe Niedorp gemaakte orgel (thans Oude Kerk Ede, deel 1872-1878, 324).</w:t>
      </w:r>
    </w:p>
    <w:p>
      <w:pPr>
        <w:pStyle w:val="T2Kunst"/>
        <w:jc w:val="start"/>
        <w:rPr>
          <w:lang w:val="nl-NL"/>
        </w:rPr>
      </w:pPr>
      <w:r>
        <w:rPr>
          <w:lang w:val="nl-NL"/>
        </w:rPr>
        <w:t>Niet alleen door de frontarchitectuur, ook vanwege de ornamentiek kan het front van dit late instrument van de derde generatie Van Dam worden beschouwd als een van de laatste echo’s van de klassieke Hollandse orgelfront-traditie.</w:t>
      </w:r>
    </w:p>
    <w:p>
      <w:pPr>
        <w:pStyle w:val="T2Kunst"/>
        <w:jc w:val="start"/>
        <w:rPr>
          <w:lang w:val="nl-NL"/>
        </w:rPr>
      </w:pPr>
      <w:r>
        <w:rPr>
          <w:lang w:val="nl-NL"/>
        </w:rPr>
        <w:t>Plasticiteit heeft het front gekregen door de belangrijkste elementen op een verschillend niveau te plaatsen: het quasi-Onderpositief op vloerniveau van de galerij, de zijtorens ter hoogte van de bovenlijst van de balustrade, het bovenfront halverwege de zijtorens. Ook de vooruitgeschoven positie van het onderfront draagt daaraan bij, evenals de hol gewelfde uitvoering van de smalle velden naast de middentoren van het bovenfront, een vast gebruik bij de Van Dam-fronten van de jaren 90 van de 19e eeuw.</w:t>
      </w:r>
    </w:p>
    <w:p>
      <w:pPr>
        <w:pStyle w:val="T2Kunst"/>
        <w:jc w:val="start"/>
        <w:rPr>
          <w:lang w:val="nl-NL"/>
        </w:rPr>
      </w:pPr>
      <w:r>
        <w:rPr>
          <w:lang w:val="nl-NL"/>
        </w:rPr>
        <w:t>De delen tekenen zich ook als zelfstandige eenheden af door hun vleugelstukken en bekroningen. De orgelmakers (en zijn beeldhouwer) houden daarbij vast aan hun vaste patronen die hier tot een geheel samengevoegd zijn. Zo kreeg het onderfront op het middenveld een lier op een piëdestal die uit het bekronende snijstuk ontstaat, en werden zijvleugels aangebracht van een type dat doorgaans ook bij kleinere orgels voorkomt. Daarentegen kregen de grote kappen de bekende ingezwekte schilden als bekroning, en werden de zijtorens voorzien van een langgerekte versie van een bij grotere orgels in de jaren 1890 al veel voorkomend vleugelstuk.</w:t>
      </w:r>
    </w:p>
    <w:p>
      <w:pPr>
        <w:pStyle w:val="T2Kunst"/>
        <w:jc w:val="start"/>
        <w:rPr>
          <w:lang w:val="nl-NL"/>
        </w:rPr>
      </w:pPr>
      <w:r>
        <w:rPr>
          <w:lang w:val="nl-NL"/>
        </w:rPr>
        <w:t>Opvallend is dat de omvang van het orgel ook tot extra uitbundigheid heeft geleid, zoals de zittende bazuinblazende putti bij de grote zijvleugels, en de cherubijntjes in het midden van de bovenblinderingen van middentoren en zijtorens.</w:t>
      </w:r>
    </w:p>
    <w:p>
      <w:pPr>
        <w:pStyle w:val="T2Kunst"/>
        <w:jc w:val="start"/>
        <w:rPr>
          <w:lang w:val="nl-NL"/>
        </w:rPr>
      </w:pPr>
      <w:r>
        <w:rPr>
          <w:lang w:val="nl-NL"/>
        </w:rPr>
        <w:t>Voor het overige is de bekende vormentaal van Van Dam uit het laatste kwart van de 19e eeuw volop aanwezig: een stramien van voluten, rijkelijk omspeeld door blad- en bloemmotieven. De kleuren zijn waarschijnlijk nog de oorspronkelijke.</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Wim Dorgelo Hzn., ‘Het Koninklijk instrument en deszelfs geschiedenis: Schagen Ned. Herv. Kerk’. </w:t>
      </w:r>
      <w:r>
        <w:rPr>
          <w:i/>
          <w:iCs/>
          <w:lang w:val="nl-NL"/>
        </w:rPr>
        <w:t>De Orgelvriend</w:t>
      </w:r>
      <w:r>
        <w:rPr>
          <w:lang w:val="nl-NL"/>
        </w:rPr>
        <w:t>, 12/10 (1970), 25.</w:t>
      </w:r>
    </w:p>
    <w:p>
      <w:pPr>
        <w:pStyle w:val="T3Lit"/>
        <w:rPr/>
      </w:pPr>
      <w:r>
        <w:rPr>
          <w:i/>
          <w:iCs/>
          <w:lang w:val="nl-NL"/>
        </w:rPr>
        <w:t>Kerkelijke Courant</w:t>
      </w:r>
      <w:r>
        <w:rPr>
          <w:lang w:val="nl-NL"/>
        </w:rPr>
        <w:t xml:space="preserve"> 55/24 (1901).</w:t>
      </w:r>
    </w:p>
    <w:p>
      <w:pPr>
        <w:pStyle w:val="T3Lit"/>
        <w:rPr/>
      </w:pPr>
      <w:r>
        <w:rPr>
          <w:lang w:val="nl-NL"/>
        </w:rPr>
        <w:t xml:space="preserve">Jan Jongepier, Hans van Nieuwkoop en Willem Poot, </w:t>
      </w:r>
      <w:r>
        <w:rPr>
          <w:i/>
          <w:iCs/>
          <w:lang w:val="nl-NL"/>
        </w:rPr>
        <w:t>Orgels in Noord-Holland</w:t>
      </w:r>
      <w:r>
        <w:rPr>
          <w:lang w:val="nl-NL"/>
        </w:rPr>
        <w:t>, Schoorl, z.j. [1996] 142, 231.</w:t>
      </w:r>
    </w:p>
    <w:p>
      <w:pPr>
        <w:pStyle w:val="T3Lit"/>
        <w:rPr>
          <w:lang w:val="nl-NL"/>
        </w:rPr>
      </w:pPr>
      <w:r>
        <w:rPr>
          <w:lang w:val="nl-NL"/>
        </w:rPr>
      </w:r>
    </w:p>
    <w:p>
      <w:pPr>
        <w:pStyle w:val="T3Lit"/>
        <w:rPr>
          <w:lang w:val="nl-NL"/>
        </w:rPr>
      </w:pPr>
      <w:r>
        <w:rPr>
          <w:lang w:val="nl-NL"/>
        </w:rPr>
        <w:t>Monumentnummer 495703</w:t>
      </w:r>
    </w:p>
    <w:p>
      <w:pPr>
        <w:pStyle w:val="T3Lit"/>
        <w:rPr>
          <w:lang w:val="nl-NL"/>
        </w:rPr>
      </w:pPr>
      <w:r>
        <w:rPr>
          <w:lang w:val="nl-NL"/>
        </w:rPr>
        <w:t>Orgelnummer 1319</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rPr>
          <w:lang w:val="nl-NL"/>
        </w:rPr>
      </w:pPr>
      <w:r>
        <w:rPr>
          <w:lang w:val="nl-NL"/>
        </w:rPr>
      </w:r>
    </w:p>
    <w:p>
      <w:pPr>
        <w:pStyle w:val="T1"/>
        <w:rPr>
          <w:lang w:val="nl-NL"/>
        </w:rPr>
      </w:pPr>
      <w:r>
        <w:rPr>
          <w:lang w:val="nl-NL"/>
        </w:rPr>
        <w:t>B. Pels &amp; Zoon 1965</w:t>
      </w:r>
    </w:p>
    <w:p>
      <w:pPr>
        <w:pStyle w:val="T1"/>
        <w:numPr>
          <w:ilvl w:val="0"/>
          <w:numId w:val="3"/>
        </w:numPr>
        <w:rPr>
          <w:lang w:val="nl-NL"/>
        </w:rPr>
      </w:pPr>
      <w:r>
        <w:rPr>
          <w:lang w:val="nl-NL"/>
        </w:rPr>
        <w:t>Mixtuur uitgebreid, rooster voor Mixtuur en Cornet vernieuwd</w:t>
      </w:r>
    </w:p>
    <w:p>
      <w:pPr>
        <w:pStyle w:val="T1"/>
        <w:numPr>
          <w:ilvl w:val="0"/>
          <w:numId w:val="3"/>
        </w:numPr>
        <w:rPr>
          <w:lang w:val="fr-FR"/>
        </w:rPr>
      </w:pPr>
      <w:r>
        <w:rPr>
          <w:lang w:val="fr-FR"/>
        </w:rPr>
        <w:t>intonatie Quintprestant 3' verzacht</w:t>
      </w:r>
    </w:p>
    <w:p>
      <w:pPr>
        <w:pStyle w:val="T1"/>
        <w:numPr>
          <w:ilvl w:val="0"/>
          <w:numId w:val="3"/>
        </w:numPr>
        <w:rPr>
          <w:lang w:val="fr-FR"/>
        </w:rPr>
      </w:pPr>
      <w:r>
        <w:rPr>
          <w:lang w:val="fr-FR"/>
        </w:rPr>
        <w:t>BW Aeoline 8' $ Quint 1 1/3'</w:t>
      </w:r>
    </w:p>
    <w:p>
      <w:pPr>
        <w:pStyle w:val="T1"/>
        <w:rPr>
          <w:lang w:val="fr-FR"/>
        </w:rPr>
      </w:pPr>
      <w:r>
        <w:rPr>
          <w:lang w:val="fr-FR"/>
        </w:rPr>
      </w:r>
    </w:p>
    <w:p>
      <w:pPr>
        <w:pStyle w:val="T1"/>
        <w:rPr>
          <w:lang w:val="nl-NL"/>
        </w:rPr>
      </w:pPr>
      <w:r>
        <w:rPr>
          <w:lang w:val="nl-NL"/>
        </w:rPr>
        <w:t>Orgelmakerij Bakker &amp; Timmenga 1993</w:t>
      </w:r>
    </w:p>
    <w:p>
      <w:pPr>
        <w:pStyle w:val="T1"/>
        <w:numPr>
          <w:ilvl w:val="0"/>
          <w:numId w:val="2"/>
        </w:numPr>
        <w:rPr>
          <w:lang w:val="nl-NL"/>
        </w:rPr>
      </w:pPr>
      <w:r>
        <w:rPr>
          <w:lang w:val="nl-NL"/>
        </w:rPr>
        <w:t>partieel herstel</w:t>
      </w:r>
    </w:p>
    <w:p>
      <w:pPr>
        <w:pStyle w:val="T1"/>
        <w:numPr>
          <w:ilvl w:val="0"/>
          <w:numId w:val="2"/>
        </w:numPr>
        <w:rPr>
          <w:lang w:val="nl-NL"/>
        </w:rPr>
      </w:pPr>
      <w:r>
        <w:rPr>
          <w:lang w:val="nl-NL"/>
        </w:rPr>
        <w:t>wijzigingen Quintprestant 3', Mixtuur en Aeoline ongedaan gemaakt.</w:t>
      </w:r>
    </w:p>
    <w:p>
      <w:pPr>
        <w:pStyle w:val="T1"/>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330"/>
        <w:gridCol w:w="720"/>
        <w:gridCol w:w="1440"/>
        <w:gridCol w:w="720"/>
        <w:gridCol w:w="1080"/>
        <w:gridCol w:w="72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Quintprestant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4 st.</w:t>
            </w:r>
          </w:p>
          <w:p>
            <w:pPr>
              <w:pStyle w:val="T4dispositie"/>
              <w:rPr>
                <w:lang w:val="nl-NL"/>
              </w:rPr>
            </w:pPr>
            <w:r>
              <w:rPr>
                <w:lang w:val="nl-NL"/>
              </w:rPr>
              <w:t>8'</w:t>
            </w:r>
          </w:p>
        </w:tc>
        <w:tc>
          <w:tcPr>
            <w:tcW w:w="1440" w:type="dxa"/>
            <w:tcBorders/>
          </w:tcPr>
          <w:p>
            <w:pPr>
              <w:pStyle w:val="T4dispositie"/>
              <w:rPr>
                <w:i/>
                <w:i/>
                <w:lang w:val="nl-NL"/>
              </w:rPr>
            </w:pPr>
            <w:r>
              <w:rPr>
                <w:i/>
                <w:lang w:val="nl-NL"/>
              </w:rPr>
              <w:t>Bovenwerk (II)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Viool de Gambe</w:t>
            </w:r>
          </w:p>
          <w:p>
            <w:pPr>
              <w:pStyle w:val="T4dispositie"/>
              <w:rPr>
                <w:lang w:val="nl-NL"/>
              </w:rPr>
            </w:pPr>
            <w:r>
              <w:rPr>
                <w:lang w:val="nl-NL"/>
              </w:rPr>
              <w:t>Aeoline</w:t>
            </w:r>
          </w:p>
          <w:p>
            <w:pPr>
              <w:pStyle w:val="T4dispositie"/>
              <w:rPr>
                <w:lang w:val="nl-NL"/>
              </w:rPr>
            </w:pPr>
            <w:r>
              <w:rPr>
                <w:lang w:val="nl-NL"/>
              </w:rPr>
              <w:t>Salicet</w:t>
            </w:r>
          </w:p>
          <w:p>
            <w:pPr>
              <w:pStyle w:val="T4dispositie"/>
              <w:rPr>
                <w:lang w:val="nl-NL"/>
              </w:rPr>
            </w:pPr>
            <w:r>
              <w:rPr>
                <w:lang w:val="nl-NL"/>
              </w:rPr>
              <w:t>Fluit travers</w:t>
            </w:r>
          </w:p>
          <w:p>
            <w:pPr>
              <w:pStyle w:val="T4dispositie"/>
              <w:rPr>
                <w:lang w:val="nl-NL"/>
              </w:rPr>
            </w:pPr>
            <w:r>
              <w:rPr>
                <w:lang w:val="nl-NL"/>
              </w:rPr>
              <w:t>Quintfluit</w:t>
            </w:r>
          </w:p>
          <w:p>
            <w:pPr>
              <w:pStyle w:val="T4dispositie"/>
              <w:rPr>
                <w:lang w:val="nl-NL"/>
              </w:rPr>
            </w:pPr>
            <w:r>
              <w:rPr>
                <w:lang w:val="nl-NL"/>
              </w:rPr>
              <w:t>Gemshoorn</w:t>
            </w:r>
          </w:p>
          <w:p>
            <w:pPr>
              <w:pStyle w:val="T4dispositie"/>
              <w:rPr>
                <w:lang w:val="nl-NL"/>
              </w:rPr>
            </w:pPr>
            <w:r>
              <w:rPr>
                <w:lang w:val="nl-NL"/>
              </w:rPr>
              <w:t>Klarinet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Subbas</w:t>
            </w:r>
          </w:p>
          <w:p>
            <w:pPr>
              <w:pStyle w:val="T4dispositie"/>
              <w:rPr>
                <w:lang w:val="nl-NL"/>
              </w:rPr>
            </w:pPr>
            <w:r>
              <w:rPr>
                <w:lang w:val="nl-NL"/>
              </w:rPr>
              <w:t>Fluitbas</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Bazuin</w:t>
            </w:r>
          </w:p>
          <w:p>
            <w:pPr>
              <w:pStyle w:val="T4dispositie"/>
              <w:rPr>
                <w:lang w:val="nl-NL"/>
              </w:rPr>
            </w:pPr>
            <w:r>
              <w:rPr>
                <w:lang w:val="nl-NL"/>
              </w:rPr>
              <w:t>Trombone</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pedaalkoppel</w:t>
      </w:r>
    </w:p>
    <w:p>
      <w:pPr>
        <w:pStyle w:val="Normal"/>
        <w:rPr>
          <w:rFonts w:ascii="Times New Roman" w:hAnsi="Times New Roman" w:cs="Times New Roman"/>
          <w:szCs w:val="24"/>
        </w:rPr>
      </w:pPr>
      <w:r>
        <w:rPr>
          <w:rFonts w:cs="Times New Roman" w:ascii="Times New Roman" w:hAnsi="Times New Roman"/>
          <w:szCs w:val="24"/>
        </w:rPr>
        <w:t>tremblant BW</w:t>
      </w:r>
    </w:p>
    <w:p>
      <w:pPr>
        <w:pStyle w:val="Normal"/>
        <w:rPr>
          <w:rFonts w:ascii="Times New Roman" w:hAnsi="Times New Roman" w:cs="Times New Roman"/>
          <w:szCs w:val="24"/>
        </w:rPr>
      </w:pPr>
      <w:r>
        <w:rPr>
          <w:rFonts w:cs="Times New Roman" w:ascii="Times New Roman" w:hAnsi="Times New Roman"/>
          <w:szCs w:val="24"/>
        </w:rPr>
        <w:t>windlozer</w:t>
      </w:r>
    </w:p>
    <w:p>
      <w:pPr>
        <w:pStyle w:val="Normal"/>
        <w:rPr>
          <w:rFonts w:ascii="Times New Roman" w:hAnsi="Times New Roman" w:cs="Times New Roman"/>
          <w:szCs w:val="24"/>
        </w:rPr>
      </w:pPr>
      <w:r>
        <w:rPr>
          <w:rFonts w:cs="Times New Roman" w:ascii="Times New Roman" w:hAnsi="Times New Roman"/>
          <w:szCs w:val="24"/>
        </w:rPr>
        <w:t>afsluiters HW, BW, Ped</w:t>
      </w:r>
    </w:p>
    <w:p>
      <w:pPr>
        <w:pStyle w:val="Normal"/>
        <w:rPr>
          <w:rFonts w:ascii="Times New Roman" w:hAnsi="Times New Roman" w:cs="Times New Roman"/>
          <w:szCs w:val="24"/>
        </w:rPr>
      </w:pPr>
      <w:r>
        <w:rPr>
          <w:rFonts w:cs="Times New Roman" w:ascii="Times New Roman" w:hAnsi="Times New Roman"/>
          <w:szCs w:val="24"/>
        </w:rPr>
        <w:t>muet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013" w:type="dxa"/>
        <w:jc w:val="start"/>
        <w:tblInd w:w="-70" w:type="dxa"/>
        <w:tblLayout w:type="fixed"/>
        <w:tblCellMar>
          <w:top w:w="0" w:type="dxa"/>
          <w:start w:w="70" w:type="dxa"/>
          <w:bottom w:w="0" w:type="dxa"/>
          <w:end w:w="70" w:type="dxa"/>
        </w:tblCellMar>
      </w:tblPr>
      <w:tblGrid>
        <w:gridCol w:w="1047"/>
        <w:gridCol w:w="736"/>
        <w:gridCol w:w="747"/>
        <w:gridCol w:w="747"/>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47"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36"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Cornet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4 - 2 2/3 - 2 - 1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trapinstallatie (1901)</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75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binnenwerk is in de kas geordend als HW, BW en dwars tegen de linkerzijkant geplaatst Ped. De windvoorziening is achter het orgel in een separate balgenkas ondergebracht. De windkanalen zijn grotendeels van eiken, de tremulant is een inliggend exemplaar.</w:t>
      </w:r>
    </w:p>
    <w:p>
      <w:pPr>
        <w:pStyle w:val="T1"/>
        <w:jc w:val="start"/>
        <w:rPr>
          <w:lang w:val="nl-NL"/>
        </w:rPr>
      </w:pPr>
      <w:r>
        <w:rPr>
          <w:lang w:val="nl-NL"/>
        </w:rPr>
        <w:t>Handklavieren als staartklavieren uitgevoerd, eiken pedaalklavier met korte boventoetsen van gelijke maat, registerknoppen met porseleinen naamplaatjes, twee rijen voor de manualen boven de lessenaar, pedaalregisters verticaal links van de lessenaar, werktuiglijke registers rechts.</w:t>
      </w:r>
    </w:p>
    <w:p>
      <w:pPr>
        <w:pStyle w:val="T1"/>
        <w:jc w:val="start"/>
        <w:rPr/>
      </w:pPr>
      <w:r>
        <w:rPr>
          <w:lang w:val="nl-NL"/>
        </w:rPr>
        <w:t>Windladen van eiken, maar met mahonie stokken. HW-lade chromatisch, C-d g</w:t>
      </w:r>
      <w:r>
        <w:rPr>
          <w:vertAlign w:val="superscript"/>
          <w:lang w:val="nl-NL"/>
        </w:rPr>
        <w:t>3</w:t>
      </w:r>
      <w:r>
        <w:rPr>
          <w:lang w:val="nl-NL"/>
        </w:rPr>
        <w:t>-dis, BW-lade diatonisch met C in het midden, Ped-lade in octaven: C c Cis cis-h, c</w:t>
      </w:r>
      <w:r>
        <w:rPr>
          <w:vertAlign w:val="superscript"/>
          <w:lang w:val="nl-NL"/>
        </w:rPr>
        <w:t>1</w:t>
      </w:r>
      <w:r>
        <w:rPr>
          <w:lang w:val="nl-NL"/>
        </w:rPr>
        <w:t xml:space="preserve"> cis</w:t>
      </w:r>
      <w:r>
        <w:rPr>
          <w:vertAlign w:val="superscript"/>
          <w:lang w:val="nl-NL"/>
        </w:rPr>
        <w:t>1</w:t>
      </w:r>
      <w:r>
        <w:rPr>
          <w:lang w:val="nl-NL"/>
        </w:rPr>
        <w:t xml:space="preserve"> d</w:t>
      </w:r>
      <w:r>
        <w:rPr>
          <w:vertAlign w:val="superscript"/>
          <w:lang w:val="nl-NL"/>
        </w:rPr>
        <w:t>1</w:t>
      </w:r>
      <w:r>
        <w:rPr>
          <w:lang w:val="nl-NL"/>
        </w:rPr>
        <w:t>.</w:t>
      </w:r>
    </w:p>
    <w:p>
      <w:pPr>
        <w:pStyle w:val="T1"/>
        <w:jc w:val="start"/>
        <w:rPr>
          <w:lang w:val="nl-NL"/>
        </w:rPr>
      </w:pPr>
      <w:r>
        <w:rPr>
          <w:lang w:val="nl-NL"/>
        </w:rPr>
        <w:t>De frontpijpen zijn van tin. Ze zijn aangesloten op C-h van de Prestant 8' HW (in rechterzijtoren en de boogvormige velden van het onderfront), Prestant 8' BW (C-h in bovenfront) en Prestant 16' Ped (G-cis zijtoren links).</w:t>
      </w:r>
    </w:p>
    <w:p>
      <w:pPr>
        <w:pStyle w:val="T1"/>
        <w:jc w:val="start"/>
        <w:rPr>
          <w:lang w:val="nl-NL"/>
        </w:rPr>
      </w:pPr>
      <w:r>
        <w:rPr>
          <w:lang w:val="nl-NL"/>
        </w:rPr>
        <w:t>Houten pijpen in de volgende registers: Bourdon 16' (C-g), Holpijp 8' (C-G), Roerfluit 8' (C-G), Subbas 16' (geheel), Fluitbas 8' (C-F).</w:t>
      </w:r>
    </w:p>
    <w:p>
      <w:pPr>
        <w:pStyle w:val="T1"/>
        <w:jc w:val="start"/>
        <w:rPr>
          <w:lang w:val="nl-NL"/>
        </w:rPr>
      </w:pPr>
      <w:r>
        <w:rPr>
          <w:lang w:val="nl-NL"/>
        </w:rPr>
        <w:t>De Violon 8' HW spreekt C-Fis in de Holpijp, G-H metaal, eigen pijpwerk, vanaf c toegeleverd pijpwerk met geperste labia en freins. Het hoogste octaaf van de Roerfluit 4' is open, conisch; het vier-voets koor van de Cornet is gedekt. De Mixtuur is deels uit eigen werkplaats, deels toegeleverd met geperste labia.</w:t>
      </w:r>
    </w:p>
    <w:p>
      <w:pPr>
        <w:pStyle w:val="T1"/>
        <w:jc w:val="start"/>
        <w:rPr>
          <w:lang w:val="nl-NL"/>
        </w:rPr>
      </w:pPr>
      <w:r>
        <w:rPr>
          <w:lang w:val="nl-NL"/>
        </w:rPr>
        <w:t>C-Fis van de Viool de Gambe zijn gedekt en G-H open (eigen makelij), vanaf c toegeleverd materiaal met geperste labia en schuine voorbaardjes. Ook de Aeoline heeft geperste labia.</w:t>
      </w:r>
    </w:p>
    <w:p>
      <w:pPr>
        <w:pStyle w:val="T1"/>
        <w:jc w:val="start"/>
        <w:rPr>
          <w:lang w:val="nl-NL"/>
        </w:rPr>
      </w:pPr>
      <w:r>
        <w:rPr>
          <w:lang w:val="nl-NL"/>
        </w:rPr>
        <w:t>De Fluit travers 4' is van C-e gedekt en verder open, conisch. De Quintfluit is van C-H gedekt, daarna conisch, open; de Gemshoorn 2' is geheel conisch.</w:t>
      </w:r>
    </w:p>
    <w:p>
      <w:pPr>
        <w:pStyle w:val="T1"/>
        <w:jc w:val="start"/>
        <w:rPr>
          <w:lang w:val="nl-NL"/>
        </w:rPr>
      </w:pPr>
      <w:r>
        <w:rPr>
          <w:lang w:val="nl-NL"/>
        </w:rPr>
        <w:t>De Prestant 16' Ped is van C-Fis gecombineerd met de Subbas. De Violon 8' bestaat uit toegeleverd pijpwerk met geperste labia en rolbaarden; de Fluitbas 8' is gedekt.</w:t>
      </w:r>
    </w:p>
    <w:p>
      <w:pPr>
        <w:pStyle w:val="T1"/>
        <w:jc w:val="start"/>
        <w:rPr/>
      </w:pPr>
      <w:r>
        <w:rPr>
          <w:lang w:val="nl-NL"/>
        </w:rPr>
        <w:t>De tongwerken hebben mahonie stevels en koppen (Klarinet met stevelrepetitie op c</w:t>
      </w:r>
      <w:r>
        <w:rPr>
          <w:vertAlign w:val="superscript"/>
          <w:lang w:val="nl-NL"/>
        </w:rPr>
        <w:t>1</w:t>
      </w:r>
      <w:r>
        <w:rPr>
          <w:lang w:val="nl-NL"/>
        </w:rPr>
        <w:t>), messing kelen en tongen. De bekers van de Klarinet zijn van tin; de bekers voor C-Fis van de Bazuin zijn van hout, de overige bekers zijn van metaal.</w:t>
      </w:r>
    </w:p>
    <w:p>
      <w:pPr>
        <w:pStyle w:val="T1"/>
        <w:jc w:val="start"/>
        <w:rPr/>
      </w:pPr>
      <w:r>
        <w:rPr>
          <w:lang w:val="nl-NL"/>
        </w:rPr>
        <w:t>Expressions zijn toegepast bij alle pijpen van de open 16- en 8-voets registers, verder bij de Octaaf 4' HW (C-h), Octaaf 4' Ped (geheel), Quintprestant 3' (C-e), Octaaf 2' (C-H), Fluit travers 4' (f-e</w:t>
      </w:r>
      <w:r>
        <w:rPr>
          <w:vertAlign w:val="superscript"/>
          <w:lang w:val="nl-NL"/>
        </w:rPr>
        <w:t>1</w:t>
      </w:r>
      <w:r>
        <w:rPr>
          <w:lang w:val="nl-NL"/>
        </w:rPr>
        <w:t>) en bij een groot deel van het Mixtuurpijpwerk.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i/>
      <w:iCs/>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4</Pages>
  <Words>879</Words>
  <Characters>4714</Characters>
  <CharactersWithSpaces>5453</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2008-05-05T14:17:00Z</dcterms:created>
  <dc:creator>WS1</dc:creator>
  <dc:description/>
  <dc:language>en-US</dc:language>
  <cp:lastModifiedBy>NIvO</cp:lastModifiedBy>
  <dcterms:modified xsi:type="dcterms:W3CDTF">2008-05-13T10:01:00Z</dcterms:modified>
  <cp:revision>3</cp:revision>
  <dc:subject/>
  <dc:title>Olst / 1880</dc:title>
</cp:coreProperties>
</file>