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Stavoren (Starum) / 1901</w:t>
      </w:r>
    </w:p>
    <w:p>
      <w:pPr>
        <w:pStyle w:val="Heading2"/>
        <w:jc w:val="both"/>
        <w:rPr>
          <w:i w:val="false"/>
          <w:i w:val="false"/>
          <w:iCs/>
        </w:rPr>
      </w:pPr>
      <w:r>
        <w:rPr>
          <w:i w:val="false"/>
          <w:iCs/>
        </w:rPr>
        <w:t>Doopsgezinde Kerk</w:t>
      </w:r>
    </w:p>
    <w:p>
      <w:pPr>
        <w:pStyle w:val="T1"/>
        <w:rPr>
          <w:i/>
          <w:i/>
          <w:iCs/>
          <w:lang w:val="nl-NL"/>
        </w:rPr>
      </w:pPr>
      <w:r>
        <w:rPr>
          <w:i/>
          <w:iCs/>
          <w:lang w:val="nl-NL"/>
        </w:rPr>
      </w:r>
    </w:p>
    <w:p>
      <w:pPr>
        <w:pStyle w:val="T1"/>
        <w:jc w:val="start"/>
        <w:rPr>
          <w:i/>
          <w:i/>
          <w:iCs/>
          <w:lang w:val="nl-NL"/>
        </w:rPr>
      </w:pPr>
      <w:r>
        <w:rPr>
          <w:i/>
          <w:iCs/>
          <w:lang w:val="nl-NL"/>
        </w:rPr>
        <w:t>Driezijdig gesloten zaalkerkje uit 1858 met aan de voorzijde een gepleisterde topgevel. Sobere inrichting.</w:t>
      </w:r>
    </w:p>
    <w:p>
      <w:pPr>
        <w:pStyle w:val="T1"/>
        <w:jc w:val="start"/>
        <w:rPr>
          <w:i/>
          <w:i/>
          <w:iCs/>
          <w:lang w:val="nl-NL"/>
        </w:rPr>
      </w:pPr>
      <w:r>
        <w:rPr>
          <w:i/>
          <w:iCs/>
          <w:lang w:val="nl-NL"/>
        </w:rPr>
      </w:r>
    </w:p>
    <w:p>
      <w:pPr>
        <w:pStyle w:val="T1"/>
        <w:jc w:val="start"/>
        <w:rPr>
          <w:lang w:val="nl-NL"/>
        </w:rPr>
      </w:pPr>
      <w:r>
        <w:rPr>
          <w:lang w:val="nl-NL"/>
        </w:rPr>
        <w:t>Kas: 1901</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Frequent toegepast vijfledig Bakker &amp; Timmenga-front met drie ronde torens en recht uitgevoerde gedeelde tussenvelden. De tussenvelden gescheiden door paneeltjes, aan de onderzijde in een boogsegment aflopend.</w:t>
      </w:r>
    </w:p>
    <w:p>
      <w:pPr>
        <w:pStyle w:val="T2Kunst"/>
        <w:jc w:val="start"/>
        <w:rPr/>
      </w:pPr>
      <w:r>
        <w:rPr>
          <w:lang w:val="nl-NL"/>
        </w:rPr>
        <w:t xml:space="preserve">Snijwerk bij de pijpvoeten ontbreekt. De blinderingen bestaan uit bladranken bij de velden en een compositie van C-voluten, bladranken en bloemen in de torens. De opzetstukken zijn eveneens uit laatstgenoemde elementen opgebouwd. Het opzetstuk op de middentoren heeft een lier als bekroning. De vleugelstukken bestaan uit een grote C-voluut, door middel van bladslingers aan de kas verbonden, in het midden voorzien van een wijnrank met druiventros. </w:t>
      </w:r>
      <w:r>
        <w:rPr>
          <w:i/>
          <w:iCs/>
          <w:lang w:val="nl-NL"/>
        </w:rPr>
        <w:t>Culs-de-lampe</w:t>
      </w:r>
      <w:r>
        <w:rPr>
          <w:lang w:val="nl-NL"/>
        </w:rPr>
        <w:t xml:space="preserve"> met bladmotieven.</w:t>
      </w:r>
    </w:p>
    <w:p>
      <w:pPr>
        <w:pStyle w:val="T1"/>
        <w:jc w:val="start"/>
        <w:rPr>
          <w:lang w:val="nl-NL"/>
        </w:rPr>
      </w:pPr>
      <w:r>
        <w:rPr>
          <w:lang w:val="nl-NL"/>
        </w:rPr>
      </w:r>
    </w:p>
    <w:p>
      <w:pPr>
        <w:pStyle w:val="T3Lit"/>
        <w:rPr>
          <w:b/>
          <w:b/>
          <w:bCs/>
          <w:lang w:val="nl-NL"/>
        </w:rPr>
      </w:pPr>
      <w:r>
        <w:rPr>
          <w:b/>
          <w:bCs/>
          <w:lang w:val="nl-NL"/>
        </w:rPr>
        <w:t>Literatuur</w:t>
      </w:r>
    </w:p>
    <w:p>
      <w:pPr>
        <w:pStyle w:val="T3Lit"/>
        <w:rPr>
          <w:lang w:val="nl-NL"/>
        </w:rPr>
      </w:pPr>
      <w:r>
        <w:rPr>
          <w:lang w:val="nl-NL"/>
        </w:rPr>
        <w:t xml:space="preserve">Fotokaart </w:t>
      </w:r>
      <w:r>
        <w:rPr>
          <w:i/>
          <w:iCs/>
          <w:lang w:val="nl-NL"/>
        </w:rPr>
        <w:t>De Mixtuur.</w:t>
      </w:r>
    </w:p>
    <w:p>
      <w:pPr>
        <w:pStyle w:val="T3Lit"/>
        <w:rPr/>
      </w:pPr>
      <w:r>
        <w:rPr>
          <w:lang w:val="nl-NL"/>
        </w:rPr>
        <w:t xml:space="preserve">Jan Jongepier, </w:t>
      </w:r>
      <w:r>
        <w:rPr>
          <w:i/>
          <w:lang w:val="nl-NL"/>
        </w:rPr>
        <w:t>Vijf eeuwen Friese orgelbouw</w:t>
      </w:r>
      <w:r>
        <w:rPr>
          <w:lang w:val="nl-NL"/>
        </w:rPr>
        <w:t>. Leeuwarden, 2004, 208.</w:t>
      </w:r>
    </w:p>
    <w:p>
      <w:pPr>
        <w:pStyle w:val="T3Lit"/>
        <w:rPr>
          <w:lang w:val="nl-NL"/>
        </w:rPr>
      </w:pPr>
      <w:r>
        <w:rPr>
          <w:lang w:val="nl-NL"/>
        </w:rPr>
      </w:r>
    </w:p>
    <w:p>
      <w:pPr>
        <w:pStyle w:val="T3Lit"/>
        <w:rPr>
          <w:b/>
          <w:b/>
          <w:bCs/>
          <w:lang w:val="nl-NL"/>
        </w:rPr>
      </w:pPr>
      <w:r>
        <w:rPr>
          <w:b/>
          <w:bCs/>
          <w:lang w:val="nl-NL"/>
        </w:rPr>
        <w:t>Niet gepubliceerde bronnen</w:t>
      </w:r>
    </w:p>
    <w:p>
      <w:pPr>
        <w:pStyle w:val="T3Lit"/>
        <w:rPr>
          <w:lang w:val="nl-NL"/>
        </w:rPr>
      </w:pPr>
      <w:r>
        <w:rPr>
          <w:lang w:val="nl-NL"/>
        </w:rPr>
        <w:t>Archief Orgelmakerij Bakker &amp; Timmenga, Leeuwarden, HCL.</w:t>
      </w:r>
    </w:p>
    <w:p>
      <w:pPr>
        <w:pStyle w:val="T3Lit"/>
        <w:rPr/>
      </w:pPr>
      <w:r>
        <w:rPr>
          <w:lang w:val="fr-FR"/>
        </w:rPr>
        <w:t xml:space="preserve">A. Bouman. </w:t>
      </w:r>
      <w:r>
        <w:rPr>
          <w:i/>
          <w:iCs/>
          <w:lang w:val="fr-FR"/>
        </w:rPr>
        <w:t>Dispositiecahier VI</w:t>
      </w:r>
      <w:r>
        <w:rPr>
          <w:lang w:val="fr-FR"/>
        </w:rPr>
        <w:t>.</w:t>
      </w:r>
    </w:p>
    <w:p>
      <w:pPr>
        <w:pStyle w:val="T3Lit"/>
        <w:rPr>
          <w:lang w:val="fr-FR"/>
        </w:rPr>
      </w:pPr>
      <w:r>
        <w:rPr>
          <w:lang w:val="fr-FR"/>
        </w:rPr>
      </w:r>
    </w:p>
    <w:p>
      <w:pPr>
        <w:pStyle w:val="T3Lit"/>
        <w:rPr>
          <w:lang w:val="nl-NL"/>
        </w:rPr>
      </w:pPr>
      <w:r>
        <w:rPr>
          <w:lang w:val="nl-NL"/>
        </w:rPr>
        <w:t>Orgelnummer 1396</w:t>
      </w:r>
    </w:p>
    <w:p>
      <w:pPr>
        <w:pStyle w:val="T3Li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1901</w:t>
      </w:r>
    </w:p>
    <w:p>
      <w:pPr>
        <w:pStyle w:val="T1"/>
        <w:jc w:val="start"/>
        <w:rPr>
          <w:lang w:val="nl-NL"/>
        </w:rPr>
      </w:pPr>
      <w:r>
        <w:rPr>
          <w:lang w:val="nl-NL"/>
        </w:rPr>
      </w:r>
    </w:p>
    <w:p>
      <w:pPr>
        <w:pStyle w:val="T1"/>
        <w:jc w:val="start"/>
        <w:rPr>
          <w:lang w:val="fr-FR"/>
        </w:rPr>
      </w:pPr>
      <w:r>
        <w:rPr>
          <w:lang w:val="fr-FR"/>
        </w:rPr>
        <w:t>H.W. Flentrop 1936</w:t>
      </w:r>
    </w:p>
    <w:p>
      <w:pPr>
        <w:pStyle w:val="T1"/>
        <w:numPr>
          <w:ilvl w:val="0"/>
          <w:numId w:val="3"/>
        </w:numPr>
        <w:jc w:val="start"/>
        <w:rPr>
          <w:lang w:val="fr-FR"/>
        </w:rPr>
      </w:pPr>
      <w:r>
        <w:rPr>
          <w:lang w:val="fr-FR"/>
        </w:rPr>
        <w:t>restauratie</w:t>
      </w:r>
    </w:p>
    <w:p>
      <w:pPr>
        <w:pStyle w:val="T1"/>
        <w:jc w:val="start"/>
        <w:rPr>
          <w:lang w:val="fr-FR"/>
        </w:rPr>
      </w:pPr>
      <w:r>
        <w:rPr>
          <w:lang w:val="fr-FR"/>
        </w:rPr>
      </w:r>
    </w:p>
    <w:p>
      <w:pPr>
        <w:pStyle w:val="T1"/>
        <w:jc w:val="start"/>
        <w:rPr>
          <w:lang w:val="nl-NL"/>
        </w:rPr>
      </w:pPr>
      <w:r>
        <w:rPr>
          <w:lang w:val="nl-NL"/>
        </w:rPr>
        <w:t>H. Spanjaard ca 1970</w:t>
      </w:r>
    </w:p>
    <w:p>
      <w:pPr>
        <w:pStyle w:val="T1"/>
        <w:numPr>
          <w:ilvl w:val="0"/>
          <w:numId w:val="2"/>
        </w:numPr>
        <w:jc w:val="start"/>
        <w:rPr>
          <w:lang w:val="nl-NL"/>
        </w:rPr>
      </w:pPr>
      <w:r>
        <w:rPr>
          <w:lang w:val="nl-NL"/>
        </w:rPr>
        <w:t>restauratie</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Gemshoorn</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433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(1901)</w:t>
      </w:r>
    </w:p>
    <w:p>
      <w:pPr>
        <w:pStyle w:val="T1"/>
        <w:jc w:val="start"/>
        <w:rPr>
          <w:lang w:val="nl-NL"/>
        </w:rPr>
      </w:pPr>
      <w:r>
        <w:rPr>
          <w:lang w:val="nl-NL"/>
        </w:rPr>
        <w:t>Winddruk</w:t>
      </w:r>
    </w:p>
    <w:p>
      <w:pPr>
        <w:pStyle w:val="T1"/>
        <w:jc w:val="start"/>
        <w:rPr>
          <w:lang w:val="nl-NL"/>
        </w:rPr>
      </w:pPr>
      <w:r>
        <w:rPr>
          <w:lang w:val="nl-NL"/>
        </w:rPr>
        <w:t>73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jc w:val="both"/>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frontpijpen zijn van Engels tin en behoren tot de Prestant 8'.</w:t>
      </w:r>
    </w:p>
    <w:p>
      <w:pPr>
        <w:pStyle w:val="T1"/>
        <w:jc w:val="start"/>
        <w:rPr>
          <w:lang w:val="nl-NL"/>
        </w:rPr>
      </w:pPr>
      <w:r>
        <w:rPr>
          <w:lang w:val="nl-NL"/>
        </w:rPr>
        <w:t>De registerknoppen met porseleinen naamplaatjes, zijn boven de lessenaar aangebracht. Het handklavier is een eiken staartklavier.</w:t>
      </w:r>
    </w:p>
    <w:p>
      <w:pPr>
        <w:pStyle w:val="T1"/>
        <w:jc w:val="start"/>
        <w:rPr>
          <w:lang w:val="nl-NL"/>
        </w:rPr>
      </w:pPr>
      <w:r>
        <w:rPr>
          <w:lang w:val="nl-NL"/>
        </w:rPr>
        <w:t>Het windtoestel bevindt zich onder in de kas.</w:t>
      </w:r>
    </w:p>
    <w:p>
      <w:pPr>
        <w:pStyle w:val="T1"/>
        <w:jc w:val="start"/>
        <w:rPr/>
      </w:pPr>
      <w:r>
        <w:rPr>
          <w:lang w:val="nl-NL"/>
        </w:rPr>
        <w:t>De windlade is van eiken met mahonie stokken en roosters. De lade heeft nog een onbezette plaats (de laatste vanaf frontzijde), echter zonder sleep, stok en registermechaniek. De ventielkast heeft drie opliggende voorslagen. De cancelvolgorde is: fis d B Gis c e gis/e</w:t>
      </w:r>
      <w:r>
        <w:rPr>
          <w:vertAlign w:val="superscript"/>
          <w:lang w:val="nl-NL"/>
        </w:rPr>
        <w:t>3</w:t>
      </w:r>
      <w:r>
        <w:rPr>
          <w:lang w:val="nl-NL"/>
        </w:rPr>
        <w:t>-b/Fis E D C Cis Dis F/a-f</w:t>
      </w:r>
      <w:r>
        <w:rPr>
          <w:vertAlign w:val="superscript"/>
          <w:lang w:val="nl-NL"/>
        </w:rPr>
        <w:t>3</w:t>
      </w:r>
      <w:r>
        <w:rPr>
          <w:lang w:val="nl-NL"/>
        </w:rPr>
        <w:t>/g dis H G A cis f.</w:t>
      </w:r>
    </w:p>
    <w:p>
      <w:pPr>
        <w:pStyle w:val="T1"/>
        <w:jc w:val="start"/>
        <w:rPr>
          <w:lang w:val="nl-NL"/>
        </w:rPr>
      </w:pPr>
      <w:r>
        <w:rPr>
          <w:lang w:val="nl-NL"/>
        </w:rPr>
        <w:t>Al met metalen binnenpijpwerk is toegeleverd pijpwerk en heeft geperste labia. C-H van de Holpijp zijn van Amerikaans grenen. De Viola di Gamba begint op c. C-Dis van de Prestant 8' zijn van Amerikaans grenen.</w:t>
      </w:r>
    </w:p>
    <w:p>
      <w:pPr>
        <w:pStyle w:val="T1"/>
        <w:jc w:val="start"/>
        <w:rPr/>
      </w:pPr>
      <w:r>
        <w:rPr>
          <w:lang w:val="nl-NL"/>
        </w:rPr>
        <w:t>Expressions zijn toegepast bij alle binnenpijpen van Prestant 8' en Viola di Gamba 8' en verder bij de Octaaf 4' (C-h</w:t>
      </w:r>
      <w:r>
        <w:rPr>
          <w:vertAlign w:val="superscript"/>
          <w:lang w:val="nl-NL"/>
        </w:rPr>
        <w:t>1</w:t>
      </w:r>
      <w:r>
        <w:rPr>
          <w:lang w:val="nl-NL"/>
        </w:rPr>
        <w:t>) en de (conische) Gemshoorn 2' (C-h).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2</Pages>
  <Words>371</Words>
  <Characters>2170</Characters>
  <CharactersWithSpaces>2479</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2008-05-05T14:18:00Z</dcterms:created>
  <dc:creator>WS1</dc:creator>
  <dc:description/>
  <dc:language>en-US</dc:language>
  <cp:lastModifiedBy>NIvO</cp:lastModifiedBy>
  <cp:lastPrinted>2002-01-08T11:24:00Z</cp:lastPrinted>
  <dcterms:modified xsi:type="dcterms:W3CDTF">2008-07-21T11:18:00Z</dcterms:modified>
  <cp:revision>3</cp:revision>
  <dc:subject/>
  <dc:title>Vrouwenpolder/ca 1845</dc:title>
</cp:coreProperties>
</file>