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Zurich (Surch) / 1901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Rond 1900 gebouwde kerk ter vervanging van een oudere voorganger. Driezijdig gesloten zaalkerk, toren met twee geledingen en een bakstenen achtkantige lantaarn met spits. Neorenaissance detaillering. Interieur uit de bouwtijd.</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bescheiden versie van het Wouterswoude-type. De ornamenten bevatten de bekende thema’s. Ze lijken hier wat meer plichtmatig gesneden te zijn, vlakker dan een paar jaar tevoren gangbaar was.</w:t>
      </w:r>
    </w:p>
    <w:p>
      <w:pPr>
        <w:pStyle w:val="T2Kunst"/>
        <w:jc w:val="start"/>
        <w:rPr>
          <w:lang w:val="nl-NL"/>
        </w:rPr>
      </w:pPr>
      <w:r>
        <w:rPr>
          <w:lang w:val="nl-NL"/>
        </w:rPr>
        <w:t>Het bekronend motief van de opzetstukken op de zijtorens vertoont veel overeenkomst met dat te Wyckel (1900), maar de compositie is hiervan in feite een spiegelbeeld: de delen die als voluut gedacht zijn, bewegen zich hier met de ronding naar buiten in plaats van naar binnen, zoals in Wyckel het geval is. Het opzetstuk op de middentoren draagt weer een lier.</w:t>
      </w:r>
    </w:p>
    <w:p>
      <w:pPr>
        <w:pStyle w:val="T2Kunst"/>
        <w:jc w:val="start"/>
        <w:rPr>
          <w:lang w:val="nl-NL"/>
        </w:rPr>
      </w:pPr>
      <w:r>
        <w:rPr>
          <w:lang w:val="nl-NL"/>
        </w:rPr>
        <w:t>De meeste uitbundigheid bevindt zich in de vleugels, waarvan de hoofdvorm slapper is dan in Wyckel, en de uitvoering van de wijnstokbladen wat obligaat is uitgevallen. Maar alle gebruikelijke elementen, het vogeltje incluis, zijn ook hier weer toegepast.</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Cs/>
          <w:lang w:val="nl-NL"/>
        </w:rPr>
        <w:t xml:space="preserve">Jan Jongepier, </w:t>
      </w:r>
      <w:r>
        <w:rPr>
          <w:i/>
          <w:iCs/>
          <w:lang w:val="nl-NL"/>
        </w:rPr>
        <w:t>Vijf eeuwen Friese orgelbouw.</w:t>
      </w:r>
      <w:r>
        <w:rPr>
          <w:iCs/>
          <w:lang w:val="nl-NL"/>
        </w:rPr>
        <w:t xml:space="preserve"> Leeuwarden, 2004, 216.</w:t>
      </w:r>
    </w:p>
    <w:p>
      <w:pPr>
        <w:pStyle w:val="T3Lit"/>
        <w:jc w:val="start"/>
        <w:rPr>
          <w:iCs/>
          <w:lang w:val="nl-NL"/>
        </w:rPr>
      </w:pPr>
      <w:r>
        <w:rPr>
          <w:iCs/>
          <w:lang w:val="nl-NL"/>
        </w:rPr>
      </w:r>
    </w:p>
    <w:p>
      <w:pPr>
        <w:pStyle w:val="T3Lit"/>
        <w:jc w:val="start"/>
        <w:rPr>
          <w:iCs/>
          <w:lang w:val="nl-NL"/>
        </w:rPr>
      </w:pPr>
      <w:r>
        <w:rPr>
          <w:b/>
          <w:bCs/>
          <w:iCs/>
          <w:lang w:val="nl-NL"/>
        </w:rPr>
        <w:t>Niet gepubliceerde bron</w:t>
      </w:r>
    </w:p>
    <w:p>
      <w:pPr>
        <w:pStyle w:val="T3Lit"/>
        <w:jc w:val="start"/>
        <w:rPr>
          <w:lang w:val="nl-NL"/>
        </w:rPr>
      </w:pPr>
      <w:r>
        <w:rPr>
          <w:iCs/>
          <w:lang w:val="nl-NL"/>
        </w:rPr>
        <w:t>Archief Orgelmakerij Bakker &amp; Timmenga, Leeuwarden, HCL.</w:t>
      </w:r>
    </w:p>
    <w:p>
      <w:pPr>
        <w:pStyle w:val="T3Lit"/>
        <w:rPr>
          <w:lang w:val="nl-NL"/>
        </w:rPr>
      </w:pPr>
      <w:r>
        <w:rPr>
          <w:lang w:val="nl-NL"/>
        </w:rPr>
      </w:r>
    </w:p>
    <w:p>
      <w:pPr>
        <w:pStyle w:val="T3Lit"/>
        <w:rPr>
          <w:lang w:val="nl-NL"/>
        </w:rPr>
      </w:pPr>
      <w:r>
        <w:rPr>
          <w:lang w:val="nl-NL"/>
        </w:rPr>
        <w:t>Monumentnummer 516539</w:t>
      </w:r>
    </w:p>
    <w:p>
      <w:pPr>
        <w:pStyle w:val="T3Lit"/>
        <w:rPr>
          <w:lang w:val="nl-NL"/>
        </w:rPr>
      </w:pPr>
      <w:r>
        <w:rPr>
          <w:lang w:val="nl-NL"/>
        </w:rPr>
        <w:t>Orgelnummer 1774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Bakker &amp; Timmenga 1963</w:t>
      </w:r>
    </w:p>
    <w:p>
      <w:pPr>
        <w:pStyle w:val="T1"/>
        <w:numPr>
          <w:ilvl w:val="0"/>
          <w:numId w:val="2"/>
        </w:numPr>
        <w:jc w:val="start"/>
        <w:rPr>
          <w:lang w:val="nl-NL"/>
        </w:rPr>
      </w:pPr>
      <w:r>
        <w:rPr>
          <w:lang w:val="nl-NL"/>
        </w:rPr>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geen pijpwerk aanwezig</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vertAlign w:val="superscript"/>
        </w:rPr>
      </w:pPr>
      <w:r>
        <w:rPr>
          <w:rFonts w:cs="Times New Roman" w:ascii="Times New Roman" w:hAnsi="Times New Roman"/>
          <w:szCs w:val="24"/>
        </w:rPr>
        <w:t>C-g</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(1901)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60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tin. De Prestant 8' staat vanaf E in het front. Sprekend zijn de frontpijpen in de drie torens en de drie grootste pijpen in de onderste tussenvelden aan beide zijden.</w:t>
      </w:r>
    </w:p>
    <w:p>
      <w:pPr>
        <w:pStyle w:val="T1"/>
        <w:jc w:val="start"/>
        <w:rPr>
          <w:lang w:val="nl-NL"/>
        </w:rPr>
      </w:pPr>
      <w:r>
        <w:rPr>
          <w:lang w:val="nl-NL"/>
        </w:rPr>
        <w:t>Het handklavier is een eiken staartklavier. De registerknoppen, voorzien van witte porseleinen naamplaatjes, zijn boven de lessenaar aangebracht.</w:t>
      </w:r>
    </w:p>
    <w:p>
      <w:pPr>
        <w:pStyle w:val="T1"/>
        <w:jc w:val="start"/>
        <w:rPr>
          <w:lang w:val="nl-NL"/>
        </w:rPr>
      </w:pPr>
      <w:r>
        <w:rPr>
          <w:lang w:val="nl-NL"/>
        </w:rPr>
        <w:t>Het windtoestel bevindt zich onder in de kas.</w:t>
      </w:r>
    </w:p>
    <w:p>
      <w:pPr>
        <w:pStyle w:val="T1"/>
        <w:jc w:val="start"/>
        <w:rPr/>
      </w:pPr>
      <w:r>
        <w:rPr>
          <w:lang w:val="nl-NL"/>
        </w:rPr>
        <w:t>De windlade is van eiken, de stokken zijn van mahonie, de ventielkast bezit drie opliggende voorslagen. De cancelvolgorde is: fis d B Gis c e gis / e</w:t>
      </w:r>
      <w:r>
        <w:rPr>
          <w:vertAlign w:val="superscript"/>
          <w:lang w:val="nl-NL"/>
        </w:rPr>
        <w:t>3</w:t>
      </w:r>
      <w:r>
        <w:rPr>
          <w:lang w:val="nl-NL"/>
        </w:rPr>
        <w:t xml:space="preserve"> -b / Fis E D C Cis Dis F / h - f</w:t>
      </w:r>
      <w:r>
        <w:rPr>
          <w:vertAlign w:val="superscript"/>
          <w:lang w:val="nl-NL"/>
        </w:rPr>
        <w:t>3</w:t>
      </w:r>
      <w:r>
        <w:rPr>
          <w:lang w:val="nl-NL"/>
        </w:rPr>
        <w:t xml:space="preserve"> / g dis H G A cis f. (f aan klaviatuurzijde)</w:t>
      </w:r>
    </w:p>
    <w:p>
      <w:pPr>
        <w:pStyle w:val="T1"/>
        <w:jc w:val="start"/>
        <w:rPr>
          <w:lang w:val="nl-NL"/>
        </w:rPr>
      </w:pPr>
      <w:r>
        <w:rPr>
          <w:lang w:val="nl-NL"/>
        </w:rPr>
        <w:t>De gereserveerde plaats voor de Trompet is uitgerust met sleep, stok en registermechaniek.</w:t>
      </w:r>
    </w:p>
    <w:p>
      <w:pPr>
        <w:pStyle w:val="T1"/>
        <w:jc w:val="start"/>
        <w:rPr>
          <w:lang w:val="nl-NL"/>
        </w:rPr>
      </w:pPr>
      <w:r>
        <w:rPr>
          <w:lang w:val="nl-NL"/>
        </w:rPr>
        <w:t>De Prestant 8' heeft open houten pijpen voor C-Dis. Het groot octaaf van de Bourdon is van hout. De Voix Celeste is in het groot octaaf gecombineerd met de Prestant, de Viola di Gamba met de Bourdon.</w:t>
      </w:r>
    </w:p>
    <w:p>
      <w:pPr>
        <w:pStyle w:val="T1"/>
        <w:jc w:val="start"/>
        <w:rPr>
          <w:lang w:val="nl-NL"/>
        </w:rPr>
      </w:pPr>
      <w:r>
        <w:rPr>
          <w:lang w:val="nl-NL"/>
        </w:rPr>
        <w:t>De Fluit 4' is gedekt, het hoogste octaaf heeft open conische pijpen.</w:t>
      </w:r>
    </w:p>
    <w:p>
      <w:pPr>
        <w:pStyle w:val="T1"/>
        <w:jc w:val="start"/>
        <w:rPr>
          <w:lang w:val="nl-NL"/>
        </w:rPr>
      </w:pPr>
      <w:r>
        <w:rPr>
          <w:lang w:val="nl-NL"/>
        </w:rPr>
        <w:t>Al het metalen pijpwerk is toegeleverd en is voorzien van geperste labia (enkele kleine pijpjes uitgezonderd). De houten pijpen zijn van oregonpine.</w:t>
      </w:r>
    </w:p>
    <w:p>
      <w:pPr>
        <w:pStyle w:val="T1"/>
        <w:jc w:val="start"/>
        <w:rPr/>
      </w:pPr>
      <w:r>
        <w:rPr>
          <w:lang w:val="nl-NL"/>
        </w:rPr>
        <w:t>Expressions zijn toegepast bij alle binnenpijpen van Prestant en Viola di Gamba, bij de Voix Celeste tot en met h</w:t>
      </w:r>
      <w:r>
        <w:rPr>
          <w:vertAlign w:val="superscript"/>
          <w:lang w:val="nl-NL"/>
        </w:rPr>
        <w:t>2</w:t>
      </w:r>
      <w:r>
        <w:rPr>
          <w:lang w:val="nl-NL"/>
        </w:rPr>
        <w:t>, bij de Octaaf 4' tot en met h</w:t>
      </w:r>
      <w:r>
        <w:rPr>
          <w:vertAlign w:val="superscript"/>
          <w:lang w:val="nl-NL"/>
        </w:rPr>
        <w:t>1</w:t>
      </w:r>
      <w:r>
        <w:rPr>
          <w:lang w:val="nl-NL"/>
        </w:rPr>
        <w:t>, bij de Octaaf 2'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2008-05-05T14:20:00Z</dcterms:created>
  <dc:creator>WS1</dc:creator>
  <dc:description/>
  <dc:language>en-US</dc:language>
  <cp:lastModifiedBy>NIvO</cp:lastModifiedBy>
  <dcterms:modified xsi:type="dcterms:W3CDTF">2008-07-21T11:20:00Z</dcterms:modified>
  <cp:revision>4</cp:revision>
  <dc:subject/>
  <dc:title>Olst / 1880</dc:title>
</cp:coreProperties>
</file>