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Aduard / 1908</w:t>
      </w:r>
    </w:p>
    <w:p>
      <w:pPr>
        <w:pStyle w:val="Heading2"/>
        <w:rPr>
          <w:i w:val="false"/>
          <w:i w:val="false"/>
          <w:iCs/>
        </w:rPr>
      </w:pPr>
      <w:r>
        <w:rPr>
          <w:i w:val="false"/>
          <w:iCs/>
        </w:rPr>
        <w:t>Hervormde Kerk (Abdijkerk)</w:t>
      </w:r>
    </w:p>
    <w:p>
      <w:pPr>
        <w:pStyle w:val="T1"/>
        <w:jc w:val="start"/>
        <w:rPr>
          <w:i/>
          <w:i/>
          <w:iCs/>
          <w:lang w:val="nl-NL"/>
        </w:rPr>
      </w:pPr>
      <w:r>
        <w:rPr>
          <w:i/>
          <w:iCs/>
          <w:lang w:val="nl-NL"/>
        </w:rPr>
      </w:r>
    </w:p>
    <w:p>
      <w:pPr>
        <w:pStyle w:val="T1"/>
        <w:jc w:val="start"/>
        <w:rPr>
          <w:i/>
          <w:i/>
          <w:iCs/>
          <w:lang w:val="nl-NL"/>
        </w:rPr>
      </w:pPr>
      <w:r>
        <w:rPr>
          <w:i/>
          <w:iCs/>
          <w:lang w:val="nl-NL"/>
        </w:rPr>
        <w:t>Rechtgesloten zaalkerk uit de vroege 14e eeuw, aanvankelijk gebouwd als ziekenzaal voor de cisterciënzerabdij. In de westelijke topgevel een bakstenen luiconstructie met een klok uit 1554, gegoten door Gerrit van Dam. Het gebouw is na 1594 ingericht als Hervormde Kerk, waarbij de drie westelijke traveeën tot school en schoolmeesterswoning zijn verbouwd. Rond 1720 liet Evert Joost Lewe van Aduard het interieur veranderen in een familiekapel met stucwerk in Lodewijk XIV-stijl. Bij de restauratie van 1917-1928 naar de plannen van H. van Heeswijk zijn exterieur en interieur in de romano-gotische toestand hersteld.</w:t>
      </w:r>
    </w:p>
    <w:p>
      <w:pPr>
        <w:pStyle w:val="T1"/>
        <w:jc w:val="start"/>
        <w:rPr>
          <w:i/>
          <w:i/>
          <w:iCs/>
          <w:lang w:val="nl-NL"/>
        </w:rPr>
      </w:pPr>
      <w:r>
        <w:rPr>
          <w:i/>
          <w:iCs/>
          <w:lang w:val="nl-NL"/>
        </w:rPr>
        <w:t>De kerkzaal wordt overdekt door een houten tongewelf met florale beschildering van J. Por. Tot de inventaris behoren een rijk gesneden preekstoel (1723), een overhuifde herenbank en twee wandbanken (ca 1725).</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eenvoudige vijfdelige orgelkas, die een soort van tussenvorm is tussen de orgelkassen van Adorp (1899, deel 1894-1901, 233-234) en Meedhuizen (1906) enerzijds en die van Ten Boer (1907), Niezijl (1907) en Roodeschool (1908) anderzijds. Te zien is een ronde middentoren, spitse zijtorens en gedeelde tussenvelden met rechte tussenlijsten. </w:t>
      </w:r>
      <w:r>
        <w:rPr/>
        <w:t xml:space="preserve">Er zijn boven de tussenvelden geen lijsten aanwezig, die in één lijn liggen met de kappen van de zijtorens, maar gebogen bladornamenten, die tegen de middentoren aanstaan. Het blinderingssnijwerk biedt niets nieuws en bestaat uit gebogen en S-vormige bladranken. Het snijwerk ontbreekt aan de bovenzijde van de bovenste tussenvelden en aan onderzijde van de onderste tussenvelden. Onder de torens vlakke consoles met bolvormige knoppen. De middelste console is gelobd. </w:t>
      </w:r>
      <w:r>
        <w:rPr>
          <w:lang w:val="nl-NL"/>
        </w:rPr>
        <w:t>Torenbekroningen ontbreken.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Jaap Brouwer, ‘De orgelmaker Marten Eertman, een vervolg’. </w:t>
      </w:r>
      <w:r>
        <w:rPr>
          <w:i/>
          <w:lang w:val="nl-NL"/>
        </w:rPr>
        <w:t>Groninger Kerken</w:t>
      </w:r>
      <w:r>
        <w:rPr>
          <w:lang w:val="nl-NL"/>
        </w:rPr>
        <w:t>, 14/1 (1997), 15-17.</w:t>
      </w:r>
    </w:p>
    <w:p>
      <w:pPr>
        <w:pStyle w:val="T3Lit"/>
        <w:jc w:val="start"/>
        <w:rPr/>
      </w:pPr>
      <w:r>
        <w:rPr>
          <w:i/>
          <w:iCs/>
          <w:lang w:val="nl-NL"/>
        </w:rPr>
        <w:t>Het Groninger Orgelbezit van Adorp tot Zijldijk. 2 Westerkwartier</w:t>
      </w:r>
      <w:r>
        <w:rPr>
          <w:lang w:val="nl-NL"/>
        </w:rPr>
        <w:t>, Groningen, 1995, 40-41.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Dispositieverzameling Johan van Meurs.</w:t>
      </w:r>
    </w:p>
    <w:p>
      <w:pPr>
        <w:pStyle w:val="T3Lit"/>
        <w:rPr/>
      </w:pPr>
      <w:r>
        <w:rPr/>
        <w:t>SKKN, dossier Aduard NHK, inventarisrapport 2004.</w:t>
      </w:r>
    </w:p>
    <w:p>
      <w:pPr>
        <w:pStyle w:val="T3Lit"/>
        <w:rPr>
          <w:lang w:val="nl-NL"/>
        </w:rPr>
      </w:pPr>
      <w:r>
        <w:rPr>
          <w:lang w:val="nl-NL"/>
        </w:rPr>
      </w:r>
    </w:p>
    <w:p>
      <w:pPr>
        <w:pStyle w:val="T3Lit"/>
        <w:jc w:val="start"/>
        <w:rPr>
          <w:lang w:val="nl-NL"/>
        </w:rPr>
      </w:pPr>
      <w:r>
        <w:rPr>
          <w:lang w:val="nl-NL"/>
        </w:rPr>
        <w:t>Monumentnummer 7075</w:t>
      </w:r>
    </w:p>
    <w:p>
      <w:pPr>
        <w:pStyle w:val="T3Lit"/>
        <w:jc w:val="start"/>
        <w:rPr>
          <w:lang w:val="nl-NL"/>
        </w:rPr>
      </w:pPr>
      <w:r>
        <w:rPr>
          <w:lang w:val="nl-NL"/>
        </w:rPr>
        <w:t>Orgelnummer 19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Eertman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lang w:val="nl-NL"/>
        </w:rPr>
      </w:pPr>
      <w:r>
        <w:rPr>
          <w:lang w:val="nl-NL"/>
        </w:rPr>
        <w:t>1912</w:t>
      </w:r>
    </w:p>
    <w:p>
      <w:pPr>
        <w:pStyle w:val="T1"/>
        <w:jc w:val="start"/>
        <w:rPr>
          <w:lang w:val="nl-NL"/>
        </w:rPr>
      </w:pPr>
      <w:r>
        <w:rPr>
          <w:lang w:val="nl-NL"/>
        </w:rPr>
        <w:t>.</w:t>
        <w:tab/>
        <w:t>orgel beschadigd als gevolg van brand in toren na blikseminslag</w:t>
      </w:r>
    </w:p>
    <w:p>
      <w:pPr>
        <w:pStyle w:val="T1"/>
        <w:jc w:val="start"/>
        <w:rPr>
          <w:lang w:val="nl-NL"/>
        </w:rPr>
      </w:pPr>
      <w:r>
        <w:rPr>
          <w:lang w:val="nl-NL"/>
        </w:rPr>
      </w:r>
    </w:p>
    <w:p>
      <w:pPr>
        <w:pStyle w:val="T1"/>
        <w:jc w:val="start"/>
        <w:rPr>
          <w:lang w:val="nl-NL"/>
        </w:rPr>
      </w:pPr>
      <w:r>
        <w:rPr>
          <w:lang w:val="nl-NL"/>
        </w:rPr>
        <w:t>1916</w:t>
      </w:r>
    </w:p>
    <w:p>
      <w:pPr>
        <w:pStyle w:val="T1"/>
        <w:jc w:val="start"/>
        <w:rPr>
          <w:lang w:val="nl-NL"/>
        </w:rPr>
      </w:pPr>
      <w:r>
        <w:rPr>
          <w:lang w:val="nl-NL"/>
        </w:rPr>
        <w:t>.</w:t>
        <w:tab/>
        <w:t>orgel gedemonteerd in verband met restauratie kerkgebouw</w:t>
      </w:r>
    </w:p>
    <w:p>
      <w:pPr>
        <w:pStyle w:val="T1"/>
        <w:jc w:val="start"/>
        <w:rPr>
          <w:lang w:val="nl-NL"/>
        </w:rPr>
      </w:pPr>
      <w:r>
        <w:rPr>
          <w:lang w:val="nl-NL"/>
        </w:rPr>
      </w:r>
    </w:p>
    <w:p>
      <w:pPr>
        <w:pStyle w:val="T1"/>
        <w:jc w:val="start"/>
        <w:rPr>
          <w:lang w:val="nl-NL"/>
        </w:rPr>
      </w:pPr>
      <w:r>
        <w:rPr>
          <w:lang w:val="nl-NL"/>
        </w:rPr>
        <w:t>Holtman &amp; Leemhuis 1923</w:t>
      </w:r>
    </w:p>
    <w:p>
      <w:pPr>
        <w:pStyle w:val="T1"/>
        <w:jc w:val="start"/>
        <w:rPr>
          <w:lang w:val="nl-NL"/>
        </w:rPr>
      </w:pPr>
      <w:r>
        <w:rPr>
          <w:lang w:val="nl-NL"/>
        </w:rPr>
        <w:t>.</w:t>
        <w:tab/>
        <w:t>orgel herplaatst</w:t>
      </w:r>
    </w:p>
    <w:p>
      <w:pPr>
        <w:pStyle w:val="T1"/>
        <w:jc w:val="start"/>
        <w:rPr>
          <w:lang w:val="nl-NL"/>
        </w:rPr>
      </w:pPr>
      <w:r>
        <w:rPr>
          <w:lang w:val="nl-NL"/>
        </w:rPr>
      </w:r>
    </w:p>
    <w:p>
      <w:pPr>
        <w:pStyle w:val="T1"/>
        <w:jc w:val="start"/>
        <w:rPr>
          <w:lang w:val="nl-NL"/>
        </w:rPr>
      </w:pPr>
      <w:r>
        <w:rPr>
          <w:lang w:val="nl-NL"/>
        </w:rPr>
        <w:t>K. Doornbos 1949</w:t>
      </w:r>
    </w:p>
    <w:p>
      <w:pPr>
        <w:pStyle w:val="T1"/>
        <w:jc w:val="start"/>
        <w:rPr>
          <w:lang w:val="nl-NL"/>
        </w:rPr>
      </w:pPr>
      <w:r>
        <w:rPr>
          <w:lang w:val="nl-NL"/>
        </w:rPr>
        <w:t>.</w:t>
        <w:tab/>
        <w:t>- Fugara 4', + Quint 2 2/3'</w:t>
      </w:r>
    </w:p>
    <w:p>
      <w:pPr>
        <w:pStyle w:val="T1"/>
        <w:jc w:val="start"/>
        <w:rPr>
          <w:lang w:val="nl-NL"/>
        </w:rPr>
      </w:pPr>
      <w:r>
        <w:rPr>
          <w:lang w:val="nl-NL"/>
        </w:rPr>
      </w:r>
    </w:p>
    <w:p>
      <w:pPr>
        <w:pStyle w:val="T1"/>
        <w:jc w:val="start"/>
        <w:rPr>
          <w:lang w:val="nl-NL"/>
        </w:rPr>
      </w:pPr>
      <w:r>
        <w:rPr>
          <w:lang w:val="nl-NL"/>
        </w:rPr>
        <w:t>Mense Ruiter 1979</w:t>
      </w:r>
    </w:p>
    <w:p>
      <w:pPr>
        <w:pStyle w:val="T1"/>
        <w:jc w:val="start"/>
        <w:rPr>
          <w:lang w:val="nl-NL"/>
        </w:rPr>
      </w:pPr>
      <w:r>
        <w:rPr>
          <w:lang w:val="nl-NL"/>
        </w:rPr>
        <w:t>.</w:t>
        <w:tab/>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Salicional</w:t>
            </w:r>
          </w:p>
          <w:p>
            <w:pPr>
              <w:pStyle w:val="T4dispositie"/>
              <w:jc w:val="start"/>
              <w:rPr>
                <w:lang w:val="nl-NL"/>
              </w:rPr>
            </w:pPr>
            <w:r>
              <w:rPr>
                <w:lang w:val="nl-NL"/>
              </w:rPr>
              <w:t>Octaaf</w:t>
            </w:r>
          </w:p>
          <w:p>
            <w:pPr>
              <w:pStyle w:val="T4dispositie"/>
              <w:jc w:val="start"/>
              <w:rPr>
                <w:lang w:val="nl-NL"/>
              </w:rPr>
            </w:pPr>
            <w:r>
              <w:rPr>
                <w:lang w:val="nl-NL"/>
              </w:rPr>
              <w:t>Fluit Travers</w:t>
            </w:r>
          </w:p>
          <w:p>
            <w:pPr>
              <w:pStyle w:val="T4dispositie"/>
              <w:jc w:val="start"/>
              <w:rPr>
                <w:lang w:val="nl-NL"/>
              </w:rPr>
            </w:pPr>
            <w:r>
              <w:rPr>
                <w:lang w:val="nl-NL"/>
              </w:rPr>
              <w:t>Quint</w:t>
            </w:r>
          </w:p>
          <w:p>
            <w:pPr>
              <w:pStyle w:val="T4dispositie"/>
              <w:jc w:val="start"/>
              <w:rPr>
                <w:lang w:val="nl-NL"/>
              </w:rPr>
            </w:pPr>
            <w:r>
              <w:rPr>
                <w:lang w:val="nl-NL"/>
              </w:rPr>
              <w:t>Woudfluit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 (buiten gebruik)</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(1908)</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Johan van Meurs noemde in zijn dispositieopgave in plaats van de Salicional eerst een Gamba en gaf aan dat de Quint in de plaats zou zijn gekomen van een tongwerk.</w:t>
      </w:r>
    </w:p>
    <w:p>
      <w:pPr>
        <w:pStyle w:val="T1"/>
        <w:jc w:val="start"/>
        <w:rPr>
          <w:lang w:val="nl-NL"/>
        </w:rPr>
      </w:pPr>
      <w:r>
        <w:rPr>
          <w:lang w:val="nl-NL"/>
        </w:rPr>
        <w:t>De bovenste tussenvelden bevatten loze pijpen (op lengte afgesneden); de bovenste luiken aan de zijkanten hebben een vulling met gaas.</w:t>
      </w:r>
    </w:p>
    <w:p>
      <w:pPr>
        <w:pStyle w:val="T1"/>
        <w:jc w:val="start"/>
        <w:rPr>
          <w:lang w:val="nl-NL"/>
        </w:rPr>
      </w:pPr>
      <w:r>
        <w:rPr>
          <w:lang w:val="nl-NL"/>
        </w:rPr>
        <w:t>De windvoorziening ligt in de onderkas; de conducten zijn van westaflex.</w:t>
      </w:r>
    </w:p>
    <w:p>
      <w:pPr>
        <w:pStyle w:val="T1"/>
        <w:jc w:val="start"/>
        <w:rPr>
          <w:lang w:val="nl-NL"/>
        </w:rPr>
      </w:pPr>
      <w:r>
        <w:rPr>
          <w:lang w:val="nl-NL"/>
        </w:rPr>
        <w:t>Tussen magazijnbalg en windlade ligt een eiken walsraam met zeskantige grenen walsen met messing welarmpjes. De registertrekkers zijn in een horizontale rij boven de lessenaarbak aangebracht; de knoppen zijn voorzien van porseleinen registerplaatjes. De voorste trekker, die van het ventiel, is vastgezet, de bijhorende mechaniek is afgekoppeld en ligt los op de balg. Het pedaalklavier heeft klassieke vormen. De orgelbank dateert uit 1908.</w:t>
      </w:r>
    </w:p>
    <w:p>
      <w:pPr>
        <w:pStyle w:val="T1"/>
        <w:jc w:val="start"/>
        <w:rPr/>
      </w:pPr>
      <w:r>
        <w:rPr>
          <w:lang w:val="nl-NL"/>
        </w:rPr>
        <w:t>De windlade ligt ter hoogte van het midden van de muziekbak (de registertrekkers met vierkante eiken trekstokken liggen in het verlengde van de slepen). De lade is van eiken met eiken stokken en roosters. De ventielkast wordt afgesloten met drie opliggende eiken voorslagen die met schroeven zijn vastgezet. De indeling is als volgt: C-Fis in het midden (naar beide zijden in hele tonen aflopende), aan weerszijden daarvan in hele tonen naar de zijden aflopende a-f</w:t>
      </w:r>
      <w:r>
        <w:rPr>
          <w:vertAlign w:val="superscript"/>
          <w:lang w:val="nl-NL"/>
        </w:rPr>
        <w:t>3</w:t>
      </w:r>
      <w:r>
        <w:rPr>
          <w:lang w:val="nl-NL"/>
        </w:rPr>
        <w:t>, aan de uiteinden van de lade G-gis in tertsopstelling.</w:t>
      </w:r>
    </w:p>
    <w:p>
      <w:pPr>
        <w:pStyle w:val="T1"/>
        <w:jc w:val="start"/>
        <w:rPr/>
      </w:pPr>
      <w:r>
        <w:rPr>
          <w:lang w:val="nl-NL"/>
        </w:rPr>
        <w:t>De Prestant 8' staat van C-gis</w:t>
      </w:r>
      <w:r>
        <w:rPr>
          <w:vertAlign w:val="superscript"/>
          <w:lang w:val="nl-NL"/>
        </w:rPr>
        <w:t>1</w:t>
      </w:r>
      <w:r>
        <w:rPr>
          <w:lang w:val="nl-NL"/>
        </w:rPr>
        <w:t xml:space="preserve"> in front (zink) in de torens en onderste tussenvelden, het vervolg staat op de lade. C-H van de Salicional 8' zijn van zink, het vervolg is van metaal. C-gis met freins, de overige met zijbaarden. De Holpijp 8' is geheel van hout (naaldhout, gelakt), C-gis staan verhoogd opgesteld, de rest staat op de lade. C-H van de Octaaf 4' en de Fluit Travers 4' zijn van zink, het vervolg is van metaal. De Quint 3' (1949) heeft zinken pijpen voor C-H, het vervolg is fabriekspijpwerk met geperste labia. De Woudfluit 2' is geheel van metaal, conisch met boogvormige opsneden. G-gis met zijbaarden.</w:t>
      </w:r>
    </w:p>
    <w:p>
      <w:pPr>
        <w:pStyle w:val="T1"/>
        <w:jc w:val="start"/>
        <w:rPr/>
      </w:pPr>
      <w:r>
        <w:rPr>
          <w:lang w:val="nl-NL"/>
        </w:rPr>
        <w:t>Al het pijpwerk is fabriekspijpwerk met (bij de metalen pijpen) slagletters en geperste labia. Expressions zijn aanwezig bij de Prestant 8', Salicional 8', Octaaf 4', Fluit Travers 4' (geheel) alsmede de Woudfluit 2' (C-f</w:t>
      </w:r>
      <w:r>
        <w:rPr>
          <w:vertAlign w:val="superscript"/>
          <w:lang w:val="nl-NL"/>
        </w:rPr>
        <w:t>2</w:t>
      </w:r>
      <w:r>
        <w:rPr>
          <w:lang w:val="nl-NL"/>
        </w:rPr>
        <w:t>). Het pijpwerk van de Quint 3' is voorzien van stemkrullen.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2009-08-02T15:45:00Z</dcterms:created>
  <dc:creator>WS1</dc:creator>
  <dc:description/>
  <dc:language>en-US</dc:language>
  <cp:lastModifiedBy>Hans</cp:lastModifiedBy>
  <dcterms:modified xsi:type="dcterms:W3CDTF">2009-08-02T15:45:00Z</dcterms:modified>
  <cp:revision>2</cp:revision>
  <dc:subject/>
  <dc:title>Heumen / ca 1860</dc:title>
</cp:coreProperties>
</file>