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Baambrugge / 1904</w:t>
      </w:r>
    </w:p>
    <w:p>
      <w:pPr>
        <w:pStyle w:val="Heading2"/>
        <w:ind w:start="0" w:end="0" w:hanging="0"/>
        <w:rPr>
          <w:i w:val="false"/>
          <w:i w:val="false"/>
          <w:iCs/>
        </w:rPr>
      </w:pPr>
      <w:r>
        <w:rPr>
          <w:i w:val="false"/>
          <w:iCs/>
        </w:rPr>
        <w:t>Gereformeerde Kerk Postwijck</w:t>
      </w:r>
    </w:p>
    <w:p>
      <w:pPr>
        <w:pStyle w:val="T1"/>
        <w:jc w:val="start"/>
        <w:rPr>
          <w:i/>
          <w:i/>
          <w:iCs/>
          <w:lang w:val="nl-NL"/>
        </w:rPr>
      </w:pPr>
      <w:r>
        <w:rPr>
          <w:i/>
          <w:iCs/>
          <w:lang w:val="nl-NL"/>
        </w:rPr>
      </w:r>
    </w:p>
    <w:p>
      <w:pPr>
        <w:pStyle w:val="T1"/>
        <w:jc w:val="start"/>
        <w:rPr>
          <w:i/>
          <w:i/>
          <w:iCs/>
          <w:lang w:val="nl-NL"/>
        </w:rPr>
      </w:pPr>
      <w:r>
        <w:rPr>
          <w:i/>
          <w:iCs/>
          <w:lang w:val="nl-NL"/>
        </w:rPr>
        <w:t>Eenvoudige zaalkerk met toegevoegde pastorie, in eerste aanleg van omstreeks 1860. In 1893 verrees de huidige pastorie, de oude doet dienst als consistoriekamer. De kerk is gebouwd in de voormalige boomgaard naast de buitenplaats Postwijck, destijds bewoond door een sympathisante van de Afscheiding en later de Doleantie.</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Opnieuw een versie van het vijfdelige ‘catalogusfront’ met ongedeelde tussenvelden (vergelijk Nieuwleusen, Hervormde Evangelisatie, 1896; Colijnsplaat, 1903; Hoedekenskerke, 1904). Nu ontbreken de torenbekroningen, terwijl de panelen voor de verhoogde frontstokken en de panelen onder de torens zijn beplakt met linnen, waarop geschilderde guirlandes en trofeeën van bazuinen en bloemen. Op de torenkappen in gotische kapitalen het opschrift ‘SOLI DEO GLORIA’. De vleugelstukken zijn grotendeels identiek aan die van het orgel in Colijnsplaat.</w:t>
      </w:r>
    </w:p>
    <w:p>
      <w:pPr>
        <w:pStyle w:val="T2Kunst"/>
        <w:jc w:val="start"/>
        <w:rPr>
          <w:rFonts w:eastAsia="Arial Unicode MS"/>
          <w:lang w:val="nl-NL"/>
        </w:rPr>
      </w:pPr>
      <w:r>
        <w:rPr>
          <w:rFonts w:eastAsia="Arial Unicode MS"/>
          <w:lang w:val="nl-NL"/>
        </w:rPr>
      </w:r>
    </w:p>
    <w:p>
      <w:pPr>
        <w:pStyle w:val="T3Lit"/>
        <w:jc w:val="start"/>
        <w:rPr>
          <w:b/>
          <w:b/>
          <w:bCs/>
          <w:lang w:val="nl-NL"/>
        </w:rPr>
      </w:pPr>
      <w:r>
        <w:rPr>
          <w:b/>
          <w:bCs/>
          <w:lang w:val="nl-NL"/>
        </w:rPr>
        <w:t>Literatuur</w:t>
      </w:r>
    </w:p>
    <w:p>
      <w:pPr>
        <w:pStyle w:val="T3Lit"/>
        <w:jc w:val="start"/>
        <w:rPr/>
      </w:pPr>
      <w:r>
        <w:rPr>
          <w:lang w:val="nl-NL"/>
        </w:rPr>
        <w:t xml:space="preserve">J. Jansen, ‘Het orgel in de Gereformeerde Kerk van Baambrugge gerestaureerd!’. </w:t>
      </w:r>
      <w:r>
        <w:rPr>
          <w:i/>
          <w:lang w:val="nl-NL"/>
        </w:rPr>
        <w:t>De Orgelvriend</w:t>
      </w:r>
      <w:r>
        <w:rPr>
          <w:lang w:val="nl-NL"/>
        </w:rPr>
        <w:t>, 9/10 (1967), 6.</w:t>
      </w:r>
    </w:p>
    <w:p>
      <w:pPr>
        <w:pStyle w:val="T3Lit"/>
        <w:jc w:val="start"/>
        <w:rPr/>
      </w:pPr>
      <w:r>
        <w:rPr>
          <w:lang w:val="nl-NL"/>
        </w:rPr>
        <w:t xml:space="preserve">R. Walsma, </w:t>
      </w:r>
      <w:r>
        <w:rPr>
          <w:i/>
          <w:iCs/>
          <w:lang w:val="nl-NL"/>
        </w:rPr>
        <w:t>Herziene en uitgebreide werklijst Properorgels</w:t>
      </w:r>
      <w:r>
        <w:rPr>
          <w:lang w:val="nl-NL"/>
        </w:rPr>
        <w:t>. Leeuwarden, 2005, 3.</w:t>
      </w:r>
    </w:p>
    <w:p>
      <w:pPr>
        <w:pStyle w:val="T3Lit"/>
        <w:jc w:val="start"/>
        <w:rPr>
          <w:lang w:val="nl-NL"/>
        </w:rPr>
      </w:pPr>
      <w:r>
        <w:rPr>
          <w:lang w:val="nl-NL"/>
        </w:rPr>
        <w:t xml:space="preserve">R. Walsma, </w:t>
      </w:r>
      <w:r>
        <w:rPr>
          <w:i/>
          <w:iCs/>
          <w:lang w:val="nl-NL"/>
        </w:rPr>
        <w:t>Jan Proper (1853-1922), orgelbouwer op het grensvlak van ambachtelijk en industrieel</w:t>
      </w:r>
      <w:r>
        <w:rPr>
          <w:lang w:val="nl-NL"/>
        </w:rPr>
        <w:t xml:space="preserve">. </w:t>
      </w:r>
      <w:r>
        <w:rPr/>
        <w:t>Leeuwarden, 2005.</w:t>
      </w:r>
    </w:p>
    <w:p>
      <w:pPr>
        <w:pStyle w:val="T3Lit"/>
        <w:jc w:val="start"/>
        <w:rPr>
          <w:lang w:val="nl-NL"/>
        </w:rPr>
      </w:pPr>
      <w:r>
        <w:rPr>
          <w:lang w:val="nl-NL"/>
        </w:rPr>
      </w:r>
    </w:p>
    <w:p>
      <w:pPr>
        <w:pStyle w:val="T3Lit"/>
        <w:jc w:val="start"/>
        <w:rPr>
          <w:rFonts w:eastAsia="Arial Unicode MS"/>
          <w:b/>
          <w:b/>
          <w:bCs/>
          <w:lang w:val="nl-NL"/>
        </w:rPr>
      </w:pPr>
      <w:r>
        <w:rPr>
          <w:b/>
          <w:bCs/>
          <w:lang w:val="nl-NL"/>
        </w:rPr>
        <w:t>Niet gepubliceerde bron</w:t>
      </w:r>
    </w:p>
    <w:p>
      <w:pPr>
        <w:pStyle w:val="T3Lit"/>
        <w:jc w:val="start"/>
        <w:rPr>
          <w:lang w:val="nl-NL"/>
        </w:rPr>
      </w:pPr>
      <w:r>
        <w:rPr>
          <w:lang w:val="nl-NL"/>
        </w:rPr>
        <w:t>SKKN, dossier Baambrugge GKN, inventarisrapport 2002.</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Fonteyn &amp; Gaal 1967</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Samenstelling vulstem</w:t>
      </w:r>
    </w:p>
    <w:tbl>
      <w:tblPr>
        <w:tblW w:w="4528" w:type="dxa"/>
        <w:jc w:val="start"/>
        <w:tblInd w:w="0" w:type="dxa"/>
        <w:tblLayout w:type="fixed"/>
        <w:tblCellMar>
          <w:top w:w="0" w:type="dxa"/>
          <w:start w:w="70" w:type="dxa"/>
          <w:bottom w:w="0" w:type="dxa"/>
          <w:end w:w="70" w:type="dxa"/>
        </w:tblCellMar>
      </w:tblPr>
      <w:tblGrid>
        <w:gridCol w:w="1645"/>
        <w:gridCol w:w="718"/>
        <w:gridCol w:w="718"/>
        <w:gridCol w:w="718"/>
        <w:gridCol w:w="729"/>
      </w:tblGrid>
      <w:tr>
        <w:trPr/>
        <w:tc>
          <w:tcPr>
            <w:tcW w:w="1645"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w:t>
      </w:r>
    </w:p>
    <w:p>
      <w:pPr>
        <w:pStyle w:val="T1"/>
        <w:jc w:val="start"/>
        <w:rPr>
          <w:lang w:val="nl-NL"/>
        </w:rPr>
      </w:pPr>
      <w:r>
        <w:rPr>
          <w:lang w:val="nl-NL"/>
        </w:rPr>
        <w:t>De kas is uitgevoerd in naaldhout en grotendeels beschilderd in houtimitatie. De ondertoetsen van het handklavier hebben ivoren beleg en frontons; de boventoetsen zijn van ebben. De palissander registerknoppen hebben witte porseleinen naamplaatjes met opschriften van verschillende herkomst. Sommige plaatjes hebben een goudkleurig biesje. De bakstukken zijn van zwart geschilderd hout.</w:t>
      </w:r>
    </w:p>
    <w:p>
      <w:pPr>
        <w:pStyle w:val="T1"/>
        <w:jc w:val="start"/>
        <w:rPr>
          <w:lang w:val="nl-NL"/>
        </w:rPr>
      </w:pPr>
      <w:r>
        <w:rPr>
          <w:lang w:val="nl-NL"/>
        </w:rPr>
        <w:t>Het pedaalklavier is uitgevoerd in eiken en vertoont qua vormgeving grote overeenstemming met de door Witte vervaardigde pedaalklavieren. De orgelbank is origineel.</w:t>
      </w:r>
    </w:p>
    <w:p>
      <w:pPr>
        <w:pStyle w:val="T1"/>
        <w:jc w:val="start"/>
        <w:rPr>
          <w:lang w:val="nl-NL"/>
        </w:rPr>
      </w:pPr>
      <w:r>
        <w:rPr>
          <w:lang w:val="nl-NL"/>
        </w:rPr>
        <w:t>De onder in de kas opgestelde moderne magazijnbalg heeft een inspringende en een uitspringende vouw. Aan de linkerzijde van de kas is de sleuf voor de niet meer aanwezige windwaag dichtgemaakt.</w:t>
      </w:r>
    </w:p>
    <w:p>
      <w:pPr>
        <w:pStyle w:val="T1"/>
        <w:jc w:val="start"/>
        <w:rPr>
          <w:lang w:val="nl-NL"/>
        </w:rPr>
      </w:pPr>
      <w:r>
        <w:rPr>
          <w:lang w:val="nl-NL"/>
        </w:rPr>
        <w:t>De het cancellenraam van de mechanische sleeplade is oud en voorzien van een houten dekplaat. De lade is aan de ventielzijde (achterzijde) voorzien van een ontlaatsysteem voor de cancellen. De meeste onderdelen in de ventielkast zijn uit 1967. De pijproosters zijn, op die van de Mixtuur na, origineel. De Mixtuur heeft een afwijkende pijpstok.</w:t>
      </w:r>
    </w:p>
    <w:p>
      <w:pPr>
        <w:pStyle w:val="T1"/>
        <w:jc w:val="start"/>
        <w:rPr/>
      </w:pPr>
      <w:r>
        <w:rPr>
          <w:lang w:val="nl-NL"/>
        </w:rPr>
        <w:t>De cancelvolgorde is dezelfde als de opstelling van de frontpijpen, van links naar rechts: dis, H G, A, cis (linkertoren), f</w:t>
      </w:r>
      <w:r>
        <w:rPr>
          <w:vertAlign w:val="superscript"/>
          <w:lang w:val="nl-NL"/>
        </w:rPr>
        <w:t>3</w:t>
      </w:r>
      <w:r>
        <w:rPr>
          <w:lang w:val="nl-NL"/>
        </w:rPr>
        <w:t>-f (tussenveld), F, Dis, Cis, C, D, E, Fis (middentoren), fis-e</w:t>
      </w:r>
      <w:r>
        <w:rPr>
          <w:vertAlign w:val="superscript"/>
          <w:lang w:val="nl-NL"/>
        </w:rPr>
        <w:t>3</w:t>
      </w:r>
      <w:r>
        <w:rPr>
          <w:lang w:val="nl-NL"/>
        </w:rPr>
        <w:t xml:space="preserve"> (middenveld) en d, B, Gis, c, e (rechtertoren). Alle frontpijpen zijn sprekend en behoren tot de Prestant 8'; g</w:t>
      </w:r>
      <w:r>
        <w:rPr>
          <w:vertAlign w:val="superscript"/>
          <w:lang w:val="nl-NL"/>
        </w:rPr>
        <w:t>1</w:t>
      </w:r>
      <w:r>
        <w:rPr>
          <w:lang w:val="nl-NL"/>
        </w:rPr>
        <w:t>-f</w:t>
      </w:r>
      <w:r>
        <w:rPr>
          <w:vertAlign w:val="superscript"/>
          <w:lang w:val="nl-NL"/>
        </w:rPr>
        <w:t>3</w:t>
      </w:r>
      <w:r>
        <w:rPr>
          <w:lang w:val="nl-NL"/>
        </w:rPr>
        <w:t xml:space="preserve"> staan op de lade, eerste sleep achter het front.</w:t>
      </w:r>
    </w:p>
    <w:p>
      <w:pPr>
        <w:pStyle w:val="T1"/>
        <w:jc w:val="start"/>
        <w:rPr>
          <w:lang w:val="nl-NL"/>
        </w:rPr>
      </w:pPr>
      <w:r>
        <w:rPr>
          <w:lang w:val="nl-NL"/>
        </w:rPr>
        <w:t>Volgorde van de registers op de lade vanaf het front: Bourdon 16', Quint 2 2/3', Gamba 8', Holpijp 8', Octaaf 4', Roerfluit 4', Octaaf 2' en Mixtuur. C-h van de Bourdon en C-H van de Holpijp zijn van hout, grotendeels afgevoerd tegen de zijwanden van de kas. Het pijpwerk van de prestantregisters heeft expressions tot 1/3' lengte. C-H van de Gamba spreken in de Holpijp, de overige pijpen zijn voorzien van expressions. De Roerfluit heeft uitwendige roeren, het hoogste octaaf is open, cilindrisch. De Mixtuur is (deels) uit 1967. Bij het trekken van de Mixtuur gaat een tweede knop mee. Wellicht heeft op de achterste sleep oorspronkelijk een gedeeld tongwerk gestaan (Trompet 8'?) waarvoor twee knoppen aanwezig waren.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2009-08-02T16:58:00Z</dcterms:created>
  <dc:creator>WS1</dc:creator>
  <dc:description/>
  <dc:language>en-US</dc:language>
  <cp:lastModifiedBy>NIvO</cp:lastModifiedBy>
  <dcterms:modified xsi:type="dcterms:W3CDTF">2009-09-29T12:35:00Z</dcterms:modified>
  <cp:revision>4</cp:revision>
  <dc:subject/>
  <dc:title>Niekerk (Hunsingo) / 1883</dc:title>
</cp:coreProperties>
</file>