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Bakkeveen / 1910</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met driezijdige sluiting en houten geveltoren, gebouwd in 1856. Interieur ingrijpend gemoderniseerd.</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vier-voets front met ronde middentoren en spitse zijtorens, zoals wel vaker door Mart. Vermeulen is toegepast. De frontindeling is verwant aan het werk van Knipscheer, met name door de labiumlijnen in de vlak uitgevoerde tussenvelden.</w:t>
      </w:r>
    </w:p>
    <w:p>
      <w:pPr>
        <w:pStyle w:val="T2Kunst"/>
        <w:jc w:val="start"/>
        <w:rPr>
          <w:lang w:val="nl-NL"/>
        </w:rPr>
      </w:pPr>
      <w:r>
        <w:rPr>
          <w:lang w:val="nl-NL"/>
        </w:rPr>
        <w:t>De wat grof uitgevallen blinderingen scharen zich nog duidelijk in de traditie van de tweede helft van de 19e eeuw, waarin een samengaan van S- en C-vormen met plantaardige motieven frequent werd toegepast. Ook in de vleugels is dit op weliswaar eenvoudige, maar toch ook smaakvolle wijze gebeurd.</w:t>
      </w:r>
    </w:p>
    <w:p>
      <w:pPr>
        <w:pStyle w:val="T2Kunst"/>
        <w:jc w:val="start"/>
        <w:rPr>
          <w:lang w:val="nl-NL"/>
        </w:rPr>
      </w:pPr>
      <w:r>
        <w:rPr>
          <w:lang w:val="nl-NL"/>
        </w:rPr>
        <w:t>Bekroningen zijn niet (meer?) aanwezig. De consoles onder de torens bestaan uit trapsgewijze naar onderen terugspringende ornamenten. De onderkas is rijkelijk van paneeltjes voorzien en volgt de frontindeling.</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177.</w:t>
      </w:r>
    </w:p>
    <w:p>
      <w:pPr>
        <w:pStyle w:val="T3Lit"/>
        <w:rPr/>
      </w:pPr>
      <w:r>
        <w:rPr>
          <w:i/>
          <w:lang w:val="nl-NL"/>
        </w:rPr>
        <w:t>De Mixtuur</w:t>
      </w:r>
      <w:r>
        <w:rPr>
          <w:lang w:val="nl-NL"/>
        </w:rPr>
        <w:t>, 45 (1984), 612.</w:t>
      </w:r>
    </w:p>
    <w:p>
      <w:pPr>
        <w:pStyle w:val="T3Lit"/>
        <w:rPr/>
      </w:pPr>
      <w:r>
        <w:rPr>
          <w:i/>
          <w:lang w:val="nl-NL"/>
        </w:rPr>
        <w:t>Het Orgelblad</w:t>
      </w:r>
      <w:r>
        <w:rPr>
          <w:lang w:val="nl-NL"/>
        </w:rPr>
        <w:t>, 6/12 (1963), ..</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121</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Stad aan ’t Haringvliet, Gereformeerde Kerk</w:t>
      </w:r>
    </w:p>
    <w:p>
      <w:pPr>
        <w:pStyle w:val="T1"/>
        <w:jc w:val="start"/>
        <w:rPr>
          <w:lang w:val="nl-NL"/>
        </w:rPr>
      </w:pPr>
      <w:r>
        <w:rPr>
          <w:lang w:val="nl-NL"/>
        </w:rPr>
      </w:r>
    </w:p>
    <w:p>
      <w:pPr>
        <w:pStyle w:val="T1"/>
        <w:jc w:val="start"/>
        <w:rPr>
          <w:lang w:val="nl-NL"/>
        </w:rPr>
      </w:pPr>
      <w:r>
        <w:rPr>
          <w:lang w:val="nl-NL"/>
        </w:rPr>
        <w:t>E. Leeflang 1963</w:t>
      </w:r>
    </w:p>
    <w:p>
      <w:pPr>
        <w:pStyle w:val="T1"/>
        <w:numPr>
          <w:ilvl w:val="0"/>
          <w:numId w:val="3"/>
        </w:numPr>
        <w:jc w:val="start"/>
        <w:rPr>
          <w:lang w:val="nl-NL"/>
        </w:rPr>
      </w:pPr>
      <w:r>
        <w:rPr>
          <w:lang w:val="nl-NL"/>
        </w:rPr>
        <w:t>orgel overgeplaatst naar Bakkeveen, Hervormde Kerk</w:t>
      </w:r>
    </w:p>
    <w:p>
      <w:pPr>
        <w:pStyle w:val="T1"/>
        <w:numPr>
          <w:ilvl w:val="0"/>
          <w:numId w:val="3"/>
        </w:numPr>
        <w:jc w:val="start"/>
        <w:rPr>
          <w:lang w:val="nl-NL"/>
        </w:rPr>
      </w:pPr>
      <w:r>
        <w:rPr>
          <w:lang w:val="nl-NL"/>
        </w:rPr>
        <w:t>windlade gerestaureerd</w:t>
      </w:r>
    </w:p>
    <w:p>
      <w:pPr>
        <w:pStyle w:val="T1"/>
        <w:jc w:val="start"/>
        <w:rPr>
          <w:lang w:val="nl-NL"/>
        </w:rPr>
      </w:pPr>
      <w:r>
        <w:rPr>
          <w:lang w:val="nl-NL"/>
        </w:rPr>
      </w:r>
    </w:p>
    <w:p>
      <w:pPr>
        <w:pStyle w:val="T1"/>
        <w:jc w:val="start"/>
        <w:rPr>
          <w:lang w:val="nl-NL"/>
        </w:rPr>
      </w:pPr>
      <w:r>
        <w:rPr>
          <w:lang w:val="nl-NL"/>
        </w:rPr>
        <w:t>Orgelmakerij Bakker &amp; Timmenga 1983</w:t>
      </w:r>
    </w:p>
    <w:p>
      <w:pPr>
        <w:pStyle w:val="T1"/>
        <w:numPr>
          <w:ilvl w:val="0"/>
          <w:numId w:val="2"/>
        </w:numPr>
        <w:jc w:val="start"/>
        <w:rPr>
          <w:lang w:val="nl-NL"/>
        </w:rPr>
      </w:pPr>
      <w:r>
        <w:rPr>
          <w:lang w:val="nl-NL"/>
        </w:rPr>
        <w:t>restauratie windlade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Vox Celeste</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(1910)</w:t>
      </w:r>
    </w:p>
    <w:p>
      <w:pPr>
        <w:pStyle w:val="T1"/>
        <w:jc w:val="start"/>
        <w:rPr>
          <w:lang w:val="nl-NL"/>
        </w:rPr>
      </w:pPr>
      <w:r>
        <w:rPr>
          <w:lang w:val="nl-NL"/>
        </w:rPr>
        <w:t>Winddruk</w:t>
      </w:r>
    </w:p>
    <w:p>
      <w:pPr>
        <w:pStyle w:val="T1"/>
        <w:jc w:val="start"/>
        <w:rPr>
          <w:lang w:val="nl-NL"/>
        </w:rPr>
      </w:pPr>
      <w:r>
        <w:rPr>
          <w:lang w:val="nl-NL"/>
        </w:rPr>
        <w:t>66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orgelmetaal; de Prestant 8' staat vanaf c in het front.</w:t>
      </w:r>
    </w:p>
    <w:p>
      <w:pPr>
        <w:pStyle w:val="T1"/>
        <w:jc w:val="start"/>
        <w:rPr>
          <w:lang w:val="nl-NL"/>
        </w:rPr>
      </w:pPr>
      <w:r>
        <w:rPr>
          <w:lang w:val="nl-NL"/>
        </w:rPr>
        <w:t>De magazijnbalg ligt onder in de kas. De handpomp is niet meer aanwezig, waarschijnlijk is deze in 1963 verwijderd, aangezien de Bakker &amp; Timmenga-offerte van 1981 het ontbreken van de pompboom al noemt, evenals het ventiel. Beide onderdelen zijn in 1983 niet gereconstrueerd. De tremulant is pneumatisch.</w:t>
      </w:r>
    </w:p>
    <w:p>
      <w:pPr>
        <w:pStyle w:val="T1"/>
        <w:jc w:val="start"/>
        <w:rPr>
          <w:lang w:val="nl-NL"/>
        </w:rPr>
      </w:pPr>
      <w:r>
        <w:rPr>
          <w:lang w:val="nl-NL"/>
        </w:rPr>
        <w:t>Het handklavier is een balansklavier. De ondertoetsen zijn met celluloid belegd. De rechthoekige zwarte bakstukken zijn zeer breed van maatvoering. De registerknoppen bevinden zich boven de lessenaar en zijn voorzien van witte porseleinen naamplaatjes. Het pedaalklavier heeft boventoetsen met enigszins af- en oplopende lengte.</w:t>
      </w:r>
    </w:p>
    <w:p>
      <w:pPr>
        <w:pStyle w:val="T1"/>
        <w:jc w:val="start"/>
        <w:rPr/>
      </w:pPr>
      <w:r>
        <w:rPr>
          <w:lang w:val="nl-NL"/>
        </w:rPr>
        <w:t>De windlade is van eiken, de stokken zijn van mahonie. De ventielkast heeft vier opliggende voorslagen. De cancelvolgorde is: c</w:t>
      </w:r>
      <w:r>
        <w:rPr>
          <w:vertAlign w:val="superscript"/>
          <w:lang w:val="nl-NL"/>
        </w:rPr>
        <w:t>1</w:t>
      </w:r>
      <w:r>
        <w:rPr>
          <w:lang w:val="nl-NL"/>
        </w:rPr>
        <w:t xml:space="preserve"> gis e fis b d</w:t>
      </w:r>
      <w:r>
        <w:rPr>
          <w:vertAlign w:val="superscript"/>
          <w:lang w:val="nl-NL"/>
        </w:rPr>
        <w:t>1</w:t>
      </w:r>
      <w:r>
        <w:rPr>
          <w:lang w:val="nl-NL"/>
        </w:rPr>
        <w:t xml:space="preserve"> / e</w:t>
      </w:r>
      <w:r>
        <w:rPr>
          <w:vertAlign w:val="superscript"/>
          <w:lang w:val="nl-NL"/>
        </w:rPr>
        <w:t>3</w:t>
      </w:r>
      <w:r>
        <w:rPr>
          <w:lang w:val="nl-NL"/>
        </w:rPr>
        <w:t xml:space="preserve"> (hele tonen) e</w:t>
      </w:r>
      <w:r>
        <w:rPr>
          <w:vertAlign w:val="superscript"/>
          <w:lang w:val="nl-NL"/>
        </w:rPr>
        <w:t>1</w:t>
      </w:r>
      <w:r>
        <w:rPr>
          <w:lang w:val="nl-NL"/>
        </w:rPr>
        <w:t xml:space="preserve"> / d-C Cis-dis (hele tonen) / f</w:t>
      </w:r>
      <w:r>
        <w:rPr>
          <w:vertAlign w:val="superscript"/>
          <w:lang w:val="nl-NL"/>
        </w:rPr>
        <w:t>1</w:t>
      </w:r>
      <w:r>
        <w:rPr>
          <w:lang w:val="nl-NL"/>
        </w:rPr>
        <w:t xml:space="preserve"> (hele tonen) f</w:t>
      </w:r>
      <w:r>
        <w:rPr>
          <w:vertAlign w:val="superscript"/>
          <w:lang w:val="nl-NL"/>
        </w:rPr>
        <w:t>3</w:t>
      </w:r>
      <w:r>
        <w:rPr>
          <w:lang w:val="nl-NL"/>
        </w:rPr>
        <w:t xml:space="preserve"> / dis</w:t>
      </w:r>
      <w:r>
        <w:rPr>
          <w:vertAlign w:val="superscript"/>
          <w:lang w:val="nl-NL"/>
        </w:rPr>
        <w:t>1</w:t>
      </w:r>
      <w:r>
        <w:rPr>
          <w:lang w:val="nl-NL"/>
        </w:rPr>
        <w:t xml:space="preserve"> h g f a cis</w:t>
      </w:r>
      <w:r>
        <w:rPr>
          <w:vertAlign w:val="superscript"/>
          <w:lang w:val="nl-NL"/>
        </w:rPr>
        <w:t>1</w:t>
      </w:r>
      <w:r>
        <w:rPr>
          <w:lang w:val="nl-NL"/>
        </w:rPr>
        <w:t>. Aan klavierzijde: cis</w:t>
      </w:r>
      <w:r>
        <w:rPr>
          <w:vertAlign w:val="superscript"/>
          <w:lang w:val="nl-NL"/>
        </w:rPr>
        <w:t>1</w:t>
      </w:r>
      <w:r>
        <w:rPr>
          <w:lang w:val="nl-NL"/>
        </w:rPr>
        <w:t>.</w:t>
      </w:r>
    </w:p>
    <w:p>
      <w:pPr>
        <w:pStyle w:val="T1"/>
        <w:jc w:val="start"/>
        <w:rPr>
          <w:lang w:val="nl-NL"/>
        </w:rPr>
      </w:pPr>
      <w:r>
        <w:rPr>
          <w:lang w:val="nl-NL"/>
        </w:rPr>
        <w:t>Bij de bouw van het orgel is gebruik gemaakt van ouder pijpwerk. Pijpwerk uit 1910 is aanwezig in de frontpijpen, alle pijpen van Vox Celeste en Viola di Gamba, C-dis van de Prestant 4' (zink), C-H van de Quint 3' (C-E zink) en C-E van de Octaaf 2'. Al het overige binnenpijpwerk is ouder. Makelij en oorspronkelijke bestemming lopen sterk uiteen. In de Quint zijn inscripties ‘Quint’ maar ook ‘Flageolet’ aangetroffen.</w:t>
      </w:r>
    </w:p>
    <w:p>
      <w:pPr>
        <w:pStyle w:val="T1"/>
        <w:jc w:val="start"/>
        <w:rPr>
          <w:lang w:val="nl-NL"/>
        </w:rPr>
      </w:pPr>
      <w:r>
        <w:rPr>
          <w:lang w:val="nl-NL"/>
        </w:rPr>
        <w:t>De gehele Holpijp is van hout, evenals C-H van de Fluit 4'. De Prestant 8' is Van C-H gecombineerd met de Holpijp 8'; bij de Viola di Gamba 8' is dat ook het geval; de Vox Celeste begint op c. De Fluit 4' is gedekt, het hoogste octaaf is open, cilindrisch.</w:t>
      </w:r>
    </w:p>
    <w:p>
      <w:pPr>
        <w:pStyle w:val="T1"/>
        <w:jc w:val="start"/>
        <w:rPr/>
      </w:pPr>
      <w:r>
        <w:rPr>
          <w:lang w:val="nl-NL"/>
        </w:rPr>
        <w:t>Expressions zijn toegepast bij alle pijpen van Viola di Gamba en Vox Celeste. Stemkrullen komen voor bij alle binnenpijpen van de Prestant 8', alle pijpen van de Prestant 4', bij de Quint (C-f</w:t>
      </w:r>
      <w:r>
        <w:rPr>
          <w:vertAlign w:val="superscript"/>
          <w:lang w:val="nl-NL"/>
        </w:rPr>
        <w:t>2</w:t>
      </w:r>
      <w:r>
        <w:rPr>
          <w:lang w:val="nl-NL"/>
        </w:rPr>
        <w:t>) en bij de Octaaf 2' (C-b</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2008-02-27T10:56:00Z</dcterms:created>
  <dc:creator>WS1</dc:creator>
  <dc:description/>
  <dc:language>en-US</dc:language>
  <cp:lastModifiedBy>Hans Steketee</cp:lastModifiedBy>
  <dcterms:modified xsi:type="dcterms:W3CDTF">2009-09-14T15:31:00Z</dcterms:modified>
  <cp:revision>9</cp:revision>
  <dc:subject/>
  <dc:title>Niekerk (Hunsingo) / 1883</dc:title>
</cp:coreProperties>
</file>