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Benningbroek / 1907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Eenbeukige kerk uit de 16e eeuw. Het koor is in de 18e eeuw gesloopt, de zaalkerk heeft nu een haakse sluitmuur aan de oostzijde. Boven de westgevel een houten geveltoren met ingesnoerde spits. Inwendig een houten tongewelf. Kansel en voorlezerslessenaar uit 1661.</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Onder de nieuwe frontontwerpen, die na 1904 in het werk van de vierde generatie Van Dam verschijnen, bevinden zich ook enkele varianten op fronttypen die een generatie vroeger ontstaan waren. Het front van Benningbroek is een inventieve, zeer rijk gedetailleerde variant op het neogotisch frontontwerp dat in 1881 in Raamsdonksveer (deel 1878-1886, 181-183) voor het eerst verscheen, maar dat waarschijnlijk voortborduurde op het helaas vernietigde front van Hoogkarspel (1866).</w:t>
      </w:r>
    </w:p>
    <w:p>
      <w:pPr>
        <w:pStyle w:val="T2Kunst"/>
        <w:jc w:val="start"/>
        <w:rPr>
          <w:lang w:val="nl-NL"/>
        </w:rPr>
      </w:pPr>
      <w:r>
        <w:rPr>
          <w:lang w:val="nl-NL"/>
        </w:rPr>
        <w:t>De hoofdlijnen van het front van Raamsdonksveer zijn eenvoudig terug te vinden in het front van Benningbroek: een vlak middenveld, schuin naar achteren lopende gedeelde tussenvelden en vlakke zijvelden. Die zijvelden zijn hier elk in tweeën gesplitst, elk veld nu voorzien van drie pijpen. De frontstijl die de velden separeert staat in feite op de plaats van de middelste pijp van een veld van zeven pijpen met V-vormig labiumverloop, zoals bij het type-Raamsdonksveer het geval is. Een tweede variant geldt de uitvoering van de gedeelde velden. De verdeling is hier niet in twee velden van gelijke hoogte boven elkaar, zoals bij de uitvoeringen van de derde generatie, maar in een groot veld onder en een klein veld boven, een verhouding van ongeveer twee op één. Daarbij staan de labia van het onderveld op één horizontale lijn. Het bovenveld is, op dezelfde wijze als met de zijvelden gebeurd is, in twee smallere veldjes gesplitst, samen met V-vormig labiumverloop. Ook hier is de stijl tussen de veldjes te vergelijken met de functie van middelste pijp van een ongedeeld veld.</w:t>
      </w:r>
    </w:p>
    <w:p>
      <w:pPr>
        <w:pStyle w:val="T2Kunst"/>
        <w:jc w:val="start"/>
        <w:rPr>
          <w:lang w:val="nl-NL"/>
        </w:rPr>
      </w:pPr>
      <w:r>
        <w:rPr>
          <w:lang w:val="nl-NL"/>
        </w:rPr>
        <w:t>In de uitvoering van het front is de neogotische vormenrijkdom van de fronten van de derde generatie onverkort aanwezig. Door de opsplitsing van enkele frontpartijen komt de detaillering verhoudingsgewijs rijker over.</w:t>
      </w:r>
    </w:p>
    <w:p>
      <w:pPr>
        <w:pStyle w:val="T2Kunst"/>
        <w:jc w:val="start"/>
        <w:rPr>
          <w:lang w:val="nl-NL"/>
        </w:rPr>
      </w:pPr>
      <w:r>
        <w:rPr>
          <w:lang w:val="nl-NL"/>
        </w:rPr>
        <w:t>Zeer dunne gietijzeren colonnetten dragen het hoofdgestel van het orgelbalkon, dat de frontvorm volgt. De panelen van de onderkas bezitten driepasjes, onder de schuin geplaatste veldjes zijn ze van spitsboogjes voorzien. De stijlen hebben inkassingen met aan de bovenzijde een spitsboogje, ook de frontstijlen zijn op deze wijze uitgevoerd.</w:t>
      </w:r>
    </w:p>
    <w:p>
      <w:pPr>
        <w:pStyle w:val="T2Kunst"/>
        <w:jc w:val="start"/>
        <w:rPr>
          <w:lang w:val="nl-NL"/>
        </w:rPr>
      </w:pPr>
      <w:r>
        <w:rPr>
          <w:lang w:val="nl-NL"/>
        </w:rPr>
        <w:t>In het eigenlijke front zijn tootlijsten, drie-, vier- en vijfpassen te vinden alsmede afsluitingen door middel van spitsboogtraceringen. De bekroningen op de bovenlijsten, met een ezelsrugboog op de middenpartij, is vrijwel identiek aan wat de derde generatie Van Dam op deze plaats toepaste. Hetzelfde geldt voor de vleugelstukken die de overgang van front naar balustrade vormen.</w:t>
      </w:r>
    </w:p>
    <w:p>
      <w:pPr>
        <w:pStyle w:val="T1"/>
        <w:jc w:val="start"/>
        <w:rPr>
          <w:lang w:val="nl-NL"/>
        </w:rPr>
      </w:pPr>
      <w:r>
        <w:rPr>
          <w:lang w:val="nl-NL"/>
        </w:rPr>
      </w:r>
    </w:p>
    <w:p>
      <w:pPr>
        <w:pStyle w:val="T3Lit"/>
        <w:rPr>
          <w:lang w:val="nl-NL"/>
        </w:rPr>
      </w:pPr>
      <w:r>
        <w:rPr>
          <w:b/>
          <w:bCs/>
          <w:lang w:val="nl-NL"/>
        </w:rPr>
        <w:t>Niet gepubliceerde bron</w:t>
      </w:r>
    </w:p>
    <w:p>
      <w:pPr>
        <w:pStyle w:val="T3Lit"/>
        <w:rPr/>
      </w:pPr>
      <w:r>
        <w:rPr>
          <w:lang w:val="nl-NL"/>
        </w:rPr>
        <w:t xml:space="preserve">Jan Jongepier, </w:t>
      </w:r>
      <w:r>
        <w:rPr>
          <w:i/>
          <w:iCs/>
          <w:lang w:val="nl-NL"/>
        </w:rPr>
        <w:t>Rapport over het orgel in de Hervormde Kerk te Benningbroek</w:t>
      </w:r>
      <w:r>
        <w:rPr>
          <w:lang w:val="nl-NL"/>
        </w:rPr>
        <w:t>. Z.p., 1986.</w:t>
      </w:r>
    </w:p>
    <w:p>
      <w:pPr>
        <w:pStyle w:val="T3Lit"/>
        <w:rPr>
          <w:lang w:val="nl-NL"/>
        </w:rPr>
      </w:pPr>
      <w:r>
        <w:rPr>
          <w:lang w:val="nl-NL"/>
        </w:rPr>
      </w:r>
    </w:p>
    <w:p>
      <w:pPr>
        <w:pStyle w:val="T3Lit"/>
        <w:rPr>
          <w:lang w:val="nl-NL"/>
        </w:rPr>
      </w:pPr>
      <w:r>
        <w:rPr>
          <w:lang w:val="nl-NL"/>
        </w:rPr>
        <w:t>Monumentnummer 30680</w:t>
      </w:r>
    </w:p>
    <w:p>
      <w:pPr>
        <w:pStyle w:val="T3Lit"/>
        <w:rPr>
          <w:lang w:val="nl-NL"/>
        </w:rPr>
      </w:pPr>
      <w:r>
        <w:rPr>
          <w:lang w:val="nl-NL"/>
        </w:rPr>
        <w:t>Orgelnummer 156</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B.F. Bergmeijer ca 1930</w:t>
      </w:r>
    </w:p>
    <w:p>
      <w:pPr>
        <w:pStyle w:val="T1"/>
        <w:jc w:val="start"/>
        <w:rPr>
          <w:lang w:val="nl-NL"/>
        </w:rPr>
      </w:pPr>
      <w:r>
        <w:rPr>
          <w:lang w:val="nl-NL"/>
        </w:rPr>
        <w:t>.</w:t>
        <w:tab/>
        <w:t>dispositie gewijzigd en uitgebreid</w:t>
      </w:r>
    </w:p>
    <w:p>
      <w:pPr>
        <w:pStyle w:val="T1"/>
        <w:jc w:val="start"/>
        <w:rPr>
          <w:lang w:val="nl-NL"/>
        </w:rPr>
      </w:pPr>
      <w:r>
        <w:rPr>
          <w:lang w:val="nl-NL"/>
        </w:rPr>
      </w:r>
    </w:p>
    <w:p>
      <w:pPr>
        <w:pStyle w:val="T1"/>
        <w:jc w:val="start"/>
        <w:rPr>
          <w:lang w:val="nl-NL"/>
        </w:rPr>
      </w:pPr>
      <w:r>
        <w:rPr>
          <w:lang w:val="nl-NL"/>
        </w:rPr>
        <w:t>Flentrop Orgelbouw 2008</w:t>
      </w:r>
    </w:p>
    <w:p>
      <w:pPr>
        <w:pStyle w:val="T1"/>
        <w:jc w:val="start"/>
        <w:rPr>
          <w:lang w:val="nl-NL"/>
        </w:rPr>
      </w:pPr>
      <w:r>
        <w:rPr>
          <w:lang w:val="nl-NL"/>
        </w:rPr>
        <w:t>.</w:t>
        <w:tab/>
        <w:t>orgel schoongemaakt en hersteld</w:t>
      </w:r>
    </w:p>
    <w:p>
      <w:pPr>
        <w:pStyle w:val="T1"/>
        <w:jc w:val="start"/>
        <w:rPr>
          <w:lang w:val="nl-NL"/>
        </w:rPr>
      </w:pPr>
      <w:r>
        <w:rPr>
          <w:lang w:val="nl-NL"/>
        </w:rPr>
        <w:t>.</w:t>
        <w:tab/>
        <w:t>lekkages in windvoorziening verholpen</w:t>
      </w:r>
    </w:p>
    <w:p>
      <w:pPr>
        <w:pStyle w:val="T1"/>
        <w:jc w:val="start"/>
        <w:rPr>
          <w:lang w:val="nl-NL"/>
        </w:rPr>
      </w:pPr>
      <w:r>
        <w:rPr>
          <w:lang w:val="nl-NL"/>
        </w:rPr>
        <w:t>.</w:t>
        <w:tab/>
        <w:t>pedaalklavier van nieuw polster voorzien</w:t>
      </w:r>
    </w:p>
    <w:p>
      <w:pPr>
        <w:pStyle w:val="T1"/>
        <w:jc w:val="start"/>
        <w:rPr>
          <w:lang w:val="nl-NL"/>
        </w:rPr>
      </w:pPr>
      <w:r>
        <w:rPr>
          <w:lang w:val="nl-NL"/>
        </w:rPr>
        <w:t>.</w:t>
        <w:tab/>
        <w:t>uitbreidingen ca 1930 verwijderd; oorspronkelijke situatie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aangehangen pedaal</w:t>
      </w:r>
    </w:p>
    <w:p>
      <w:pPr>
        <w:pStyle w:val="T1"/>
        <w:jc w:val="start"/>
        <w:rPr>
          <w:lang w:val="nl-NL"/>
        </w:rPr>
      </w:pPr>
      <w:r>
        <w:rPr>
          <w:lang w:val="nl-NL"/>
        </w:rPr>
      </w:r>
    </w:p>
    <w:p>
      <w:pPr>
        <w:pStyle w:val="T1"/>
        <w:jc w:val="start"/>
        <w:rPr/>
      </w:pPr>
      <w:r>
        <w:rPr/>
        <w:t>Dispositie</w:t>
      </w:r>
    </w:p>
    <w:tbl>
      <w:tblPr>
        <w:tblW w:w="4750" w:type="dxa"/>
        <w:jc w:val="start"/>
        <w:tblInd w:w="-70" w:type="dxa"/>
        <w:tblLayout w:type="fixed"/>
        <w:tblCellMar>
          <w:top w:w="0" w:type="dxa"/>
          <w:start w:w="70" w:type="dxa"/>
          <w:bottom w:w="0" w:type="dxa"/>
          <w:end w:w="70" w:type="dxa"/>
        </w:tblCellMar>
      </w:tblPr>
      <w:tblGrid>
        <w:gridCol w:w="1690"/>
        <w:gridCol w:w="741"/>
        <w:gridCol w:w="1599"/>
        <w:gridCol w:w="720"/>
      </w:tblGrid>
      <w:tr>
        <w:trPr/>
        <w:tc>
          <w:tcPr>
            <w:tcW w:w="1690" w:type="dxa"/>
            <w:tcBorders/>
          </w:tcPr>
          <w:p>
            <w:pPr>
              <w:pStyle w:val="T4dispositie"/>
              <w:rPr>
                <w:i/>
                <w:i/>
                <w:iCs/>
                <w:lang w:val="nl-NL"/>
              </w:rPr>
            </w:pPr>
            <w:r>
              <w:rPr>
                <w:i/>
                <w:iCs/>
                <w:lang w:val="nl-NL"/>
              </w:rPr>
              <w:t>Hoofdwerk (I)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Octaaf</w:t>
            </w:r>
          </w:p>
        </w:tc>
        <w:tc>
          <w:tcPr>
            <w:tcW w:w="74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599" w:type="dxa"/>
            <w:tcBorders/>
          </w:tcPr>
          <w:p>
            <w:pPr>
              <w:pStyle w:val="T4dispositie"/>
              <w:rPr>
                <w:i/>
                <w:i/>
                <w:iCs/>
                <w:lang w:val="nl-NL"/>
              </w:rPr>
            </w:pPr>
            <w:r>
              <w:rPr>
                <w:i/>
                <w:iCs/>
                <w:lang w:val="nl-NL"/>
              </w:rPr>
              <w:t>Nevenwerk (II)</w:t>
            </w:r>
          </w:p>
          <w:p>
            <w:pPr>
              <w:pStyle w:val="T4dispositie"/>
              <w:rPr>
                <w:lang w:val="nl-NL"/>
              </w:rPr>
            </w:pPr>
            <w:r>
              <w:rPr>
                <w:lang w:val="nl-NL"/>
              </w:rPr>
              <w:t>3 stemmen</w:t>
            </w:r>
          </w:p>
          <w:p>
            <w:pPr>
              <w:pStyle w:val="T4dispositie"/>
              <w:rPr>
                <w:lang w:val="nl-NL"/>
              </w:rPr>
            </w:pPr>
            <w:r>
              <w:rPr>
                <w:lang w:val="nl-NL"/>
              </w:rPr>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Flûte harmonique</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tremblant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C-g</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balanstrapinstallatie (1907)</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uitbreiding van ca 1930 werd een pneumatisch bediende aanvullingslade geplaatst tegen de linkerzijwand van de kas, waarop de registers Octaaf 2' HW en Aeoline 8' NW stonden. Op de hierdoor vrijgekomen sleep van de HW-lade werd een Echotrompet 8' geplaatst. Omdat het pijpwerk van de Octaaf 2' wat factuur betreft overeenkomt met het overige labiaalpijpwerk en de Echotrompet 8' van jongere makelij bleek en ook het registeropschrift afweek van de overige plaatjes, is geconcludeerd dat de Octaaf 2' oorspronkelijk op de HW-lade stond. Op basis van deze veronderstelling is in 2008 de oorspronkelijke situatie hersteld.</w:t>
      </w:r>
    </w:p>
    <w:p>
      <w:pPr>
        <w:pStyle w:val="T1"/>
        <w:jc w:val="start"/>
        <w:rPr>
          <w:lang w:val="nl-NL"/>
        </w:rPr>
      </w:pPr>
      <w:r>
        <w:rPr>
          <w:lang w:val="nl-NL"/>
        </w:rPr>
        <w:t>De frontpijpen zijn van tin. Sprekend in de Prestant 8' zijn C-h, (middenveld, vijf in de binnenste van de buitenste velden, tweemaal zes pijpen in de onderste tussenvelden).</w:t>
      </w:r>
    </w:p>
    <w:p>
      <w:pPr>
        <w:pStyle w:val="T1"/>
        <w:jc w:val="start"/>
        <w:rPr>
          <w:lang w:val="nl-NL"/>
        </w:rPr>
      </w:pPr>
      <w:r>
        <w:rPr>
          <w:lang w:val="nl-NL"/>
        </w:rPr>
        <w:t>De handklavieren zijn eiken staartklavieren. De ondertoetsen zijn belegd met ivoor. Het eiken pedaalklavier heeft korte boventoetsen van gelijke lengte. De registerknoppen zijn op één rij boven de lessenaar geplaatst, de knop voor de tremblant is in deze rij opgenomen. De knoppen voor ventiel en manuaalkoppel bevinden zich links, respectievelijk rechts van de klavieren. De toegevoegde knoppen voor de registers op de aanvullingslade waren als uiterste knoppen links, naast de Prestant (Octaaf 2') en rechts, naast de tremblant (Aeoline 8') geplaatst.</w:t>
      </w:r>
    </w:p>
    <w:p>
      <w:pPr>
        <w:pStyle w:val="T1"/>
        <w:jc w:val="start"/>
        <w:rPr>
          <w:lang w:val="nl-NL"/>
        </w:rPr>
      </w:pPr>
      <w:r>
        <w:rPr>
          <w:lang w:val="nl-NL"/>
        </w:rPr>
        <w:t>Het windtoestel is onder in de kas geplaatst. De balanstrapinstallatie is tegen de linker zijwand gemonteerd. De kanalen zijn van eiken, de tremblant is inliggend.</w:t>
      </w:r>
    </w:p>
    <w:p>
      <w:pPr>
        <w:pStyle w:val="T1"/>
        <w:jc w:val="start"/>
        <w:rPr>
          <w:lang w:val="nl-NL"/>
        </w:rPr>
      </w:pPr>
      <w:r>
        <w:rPr>
          <w:lang w:val="nl-NL"/>
        </w:rPr>
        <w:t>Voor de manuaalwerken is een samengebouwde windlade gemaakt, de registers van het HW vooraan met ventielkast aan frontzijde, de registers van het NW achteraan met ventielkast aan de achterzijde. De lade en de roosters zijn van eiken, de stokken zijn van mahonie.</w:t>
      </w:r>
    </w:p>
    <w:p>
      <w:pPr>
        <w:pStyle w:val="T1"/>
        <w:jc w:val="start"/>
        <w:rPr/>
      </w:pPr>
      <w:r>
        <w:rPr>
          <w:lang w:val="nl-NL"/>
        </w:rPr>
        <w:t xml:space="preserve">Houten pijpen zijn toegepast bij de Bourdon 16' (C-h, grenen, achter het front geplaatst), Holpijp 8' (C-G, eiken), Roerfluit 8' (C-G) en Viola di Gamba 8' (C-G). De Violon 8' is van C-H gecombineerd met de Holpijp. De Octaaf 2' is conisch met de naaminscriptie </w:t>
      </w:r>
      <w:r>
        <w:rPr>
          <w:i/>
          <w:iCs/>
          <w:lang w:val="nl-NL"/>
        </w:rPr>
        <w:t>Gemshoorn 2 vt</w:t>
      </w:r>
      <w:r>
        <w:rPr>
          <w:lang w:val="nl-NL"/>
        </w:rPr>
        <w:t xml:space="preserve"> op C. De Viola di Gamba 8' is vanaf Gis van tin met zijbaarden. De Flûte harmonique 4' is van C-H gedekt, van c-h open en verder overblazend.</w:t>
      </w:r>
    </w:p>
    <w:p>
      <w:pPr>
        <w:pStyle w:val="T1"/>
        <w:jc w:val="start"/>
        <w:rPr>
          <w:lang w:val="nl-NL"/>
        </w:rPr>
      </w:pPr>
      <w:r>
        <w:rPr>
          <w:lang w:val="nl-NL"/>
        </w:rPr>
        <w:t>Het labiaalpijpwerk is op een enkele uitzondering na van homogene, klassieke makelij. De gedekte registers hebben rond ingeritste labia, de open registers spits geritste labia. De discant van de Flûte harmonique bestaat uit toegeleverd pijpwerk met geperste onderlabia en niet-gevlakte bovenlabia.</w:t>
      </w:r>
    </w:p>
    <w:p>
      <w:pPr>
        <w:pStyle w:val="T1"/>
        <w:jc w:val="start"/>
        <w:rPr>
          <w:lang w:val="nl-NL"/>
        </w:rPr>
      </w:pPr>
      <w:r>
        <w:rPr>
          <w:lang w:val="nl-NL"/>
        </w:rPr>
        <w:t>Expressions zijn toegepast bij alle pijpen van Prestant 8', Violon 8' en Viola di Gamba 8', alsmede bij de Octaaf 4' (C-h) en de Flûte harmonique 4' (vanaf c).</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2008-02-27T19:42:00Z</dcterms:created>
  <dc:creator>WS1</dc:creator>
  <dc:description/>
  <dc:language>en-US</dc:language>
  <cp:lastModifiedBy>Hans Steketee</cp:lastModifiedBy>
  <dcterms:modified xsi:type="dcterms:W3CDTF">2009-09-14T15:47:00Z</dcterms:modified>
  <cp:revision>13</cp:revision>
  <dc:subject/>
  <dc:title>Hilversum / 1910</dc:title>
</cp:coreProperties>
</file>