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Bergambacht / 1904</w:t>
      </w:r>
    </w:p>
    <w:p>
      <w:pPr>
        <w:pStyle w:val="Heading2"/>
        <w:rPr>
          <w:i w:val="false"/>
          <w:i w:val="false"/>
          <w:iCs/>
        </w:rPr>
      </w:pPr>
      <w:r>
        <w:rPr>
          <w:i w:val="false"/>
          <w:iCs/>
        </w:rPr>
        <w:t>Hervormde Kerk</w:t>
      </w:r>
    </w:p>
    <w:p>
      <w:pPr>
        <w:pStyle w:val="T1"/>
        <w:jc w:val="start"/>
        <w:rPr>
          <w:i/>
          <w:i/>
          <w:iCs/>
        </w:rPr>
      </w:pPr>
      <w:r>
        <w:rPr>
          <w:i/>
          <w:iCs/>
        </w:rPr>
      </w:r>
    </w:p>
    <w:p>
      <w:pPr>
        <w:pStyle w:val="T1"/>
        <w:jc w:val="start"/>
        <w:rPr/>
      </w:pPr>
      <w:r>
        <w:rPr>
          <w:i/>
          <w:iCs/>
        </w:rPr>
        <w:t xml:space="preserve">De eerste Romaanse kerk, gewijd aan de heilige Laurentius, verrees omstreeks 1450. </w:t>
      </w:r>
      <w:r>
        <w:rPr>
          <w:i/>
          <w:iCs/>
          <w:lang w:val="nl-NL"/>
        </w:rPr>
        <w:t xml:space="preserve">Het gebouw raakte in de 16e eeuw beschadigd en werd hersteld met een gotisch koor en uitgebreid met twee kapellen. </w:t>
      </w:r>
      <w:r>
        <w:rPr>
          <w:i/>
          <w:iCs/>
        </w:rPr>
        <w:t xml:space="preserve">In 1674 verdween na stormschade het koor en herbouwde men het schip in de huidige grondvorm. </w:t>
      </w:r>
      <w:r>
        <w:rPr>
          <w:i/>
          <w:iCs/>
          <w:lang w:val="nl-NL"/>
        </w:rPr>
        <w:t xml:space="preserve">Na een brand in 1891 veranderde het aanzien van de kerk opnieuw. Het gebouw bestaat thans  uit schip en transept. De toren dateert uit het begin van de 16e eeuw. </w:t>
      </w:r>
      <w:r>
        <w:rPr>
          <w:i/>
          <w:iCs/>
        </w:rPr>
        <w:t>Preekstoel uit 1661, afkomstig uit Middelie.</w:t>
      </w:r>
    </w:p>
    <w:p>
      <w:pPr>
        <w:pStyle w:val="T1"/>
        <w:jc w:val="start"/>
        <w:rPr>
          <w:i/>
          <w:i/>
          <w:iCs/>
        </w:rPr>
      </w:pPr>
      <w:r>
        <w:rPr>
          <w:i/>
          <w:iCs/>
        </w:rPr>
      </w:r>
    </w:p>
    <w:p>
      <w:pPr>
        <w:pStyle w:val="T1"/>
        <w:rPr>
          <w:lang w:val="nl-NL"/>
        </w:rPr>
      </w:pPr>
      <w:r>
        <w:rPr>
          <w:lang w:val="nl-NL"/>
        </w:rPr>
        <w:t>Kas: 1904</w:t>
      </w:r>
    </w:p>
    <w:p>
      <w:pPr>
        <w:pStyle w:val="T1"/>
        <w:rPr>
          <w:lang w:val="nl-NL"/>
        </w:rPr>
      </w:pPr>
      <w:r>
        <w:rPr>
          <w:lang w:val="nl-NL"/>
        </w:rPr>
      </w:r>
    </w:p>
    <w:p>
      <w:pPr>
        <w:pStyle w:val="T2Kunst"/>
        <w:rPr>
          <w:b/>
          <w:b/>
          <w:bCs/>
          <w:lang w:val="nl-NL"/>
        </w:rPr>
      </w:pPr>
      <w:r>
        <w:rPr>
          <w:b/>
          <w:bCs/>
          <w:lang w:val="nl-NL"/>
        </w:rPr>
        <w:t>Kunsthistorische aspecten</w:t>
      </w:r>
    </w:p>
    <w:p>
      <w:pPr>
        <w:pStyle w:val="T2Kunst"/>
        <w:jc w:val="start"/>
        <w:rPr/>
      </w:pPr>
      <w:r>
        <w:rPr/>
        <w:t>Een vijfdelig front met drie halfronde torens en twee ongedeelde tussenvelden. Aan de bovenzijde is het pijpwerk geblindeerd met vergulde bladmotieven met eromheen sierlijk lijstwerk, bij de torens met vergulde knop. De motieven die ter blindering van de tussenvelden zijn toegepast worden daarboven op de kas nog eens herhaald, zij het iets aangepast en diagonaal gespiegeld. Ook het vergulde knopmotief wordt herhaald, in een reeks, boven de pijptorens. Ter bekroning van de torens zie we samengestelde sierpotten, aangekleed met knoppen en een variatie van gekleurde S en C voluten. Aan de zijkanten is de kas versierd met vleugelstukken, bestaande uit enkele krulvormen en geschilderd rasterwerk. Op de hoeken van het lijstwerk wordt het motief van de sierpotten in het klein herhaald. De bovenkas en onderkas van dit front lopen op fraaie wijze in elkaar over. De torens zijn aan de onderzijde gedecoreerd met rijk bewerkte consoles, die op eenzelfde verfijnde wijze zijn opgebouwd als de sierpotten boven op de kas. De onderkas is ter breedte van de tussenvelden nog versierd met vergulde bladmotieven, eveneens iets dat ook boven in de kas te zien is. Dit soort herhalingen versterkt de eenheid van het ontwerp.</w:t>
      </w:r>
    </w:p>
    <w:p>
      <w:pPr>
        <w:pStyle w:val="T1"/>
        <w:rPr>
          <w:lang w:val="nl-NL"/>
        </w:rPr>
      </w:pPr>
      <w:r>
        <w:rPr>
          <w:lang w:val="nl-NL"/>
        </w:rPr>
      </w:r>
    </w:p>
    <w:p>
      <w:pPr>
        <w:pStyle w:val="T3Lit"/>
        <w:rPr>
          <w:lang w:val="nl-NL"/>
        </w:rPr>
      </w:pPr>
      <w:r>
        <w:rPr>
          <w:b/>
          <w:bCs/>
          <w:lang w:val="nl-NL"/>
        </w:rPr>
        <w:t>Literatuur</w:t>
      </w:r>
    </w:p>
    <w:p>
      <w:pPr>
        <w:pStyle w:val="T3Lit"/>
        <w:jc w:val="start"/>
        <w:rPr/>
      </w:pPr>
      <w:r>
        <w:rPr>
          <w:lang w:val="nl-NL"/>
        </w:rPr>
        <w:t xml:space="preserve">Hendrik P. Brussee, </w:t>
      </w:r>
      <w:r>
        <w:rPr>
          <w:i/>
          <w:iCs/>
          <w:lang w:val="nl-NL"/>
        </w:rPr>
        <w:t>Orgels aan de Oude Wetering</w:t>
      </w:r>
      <w:r>
        <w:rPr>
          <w:lang w:val="nl-NL"/>
        </w:rPr>
        <w:t>. Noodwijk, 2008.</w:t>
      </w:r>
    </w:p>
    <w:p>
      <w:pPr>
        <w:pStyle w:val="T3Lit"/>
        <w:jc w:val="start"/>
        <w:rPr/>
      </w:pPr>
      <w:r>
        <w:rPr>
          <w:i/>
          <w:iCs/>
        </w:rPr>
        <w:t>Het Orgel</w:t>
      </w:r>
      <w:r>
        <w:rPr/>
        <w:t>, 1/6 (1904), 4.</w:t>
      </w:r>
    </w:p>
    <w:p>
      <w:pPr>
        <w:pStyle w:val="T3Lit"/>
        <w:jc w:val="start"/>
        <w:rPr/>
      </w:pPr>
      <w:r>
        <w:rPr/>
        <w:t xml:space="preserve">Hess-vervolg. </w:t>
      </w:r>
      <w:r>
        <w:rPr>
          <w:i/>
          <w:iCs/>
        </w:rPr>
        <w:t>Dispositien van Kerk-Orgelen welke in Nederland worden aangetroffen. Vervolg naar het handschrift van omstreeks 1815</w:t>
      </w:r>
      <w:r>
        <w:rPr/>
        <w:t xml:space="preserve">. ed. </w:t>
      </w:r>
      <w:r>
        <w:rPr>
          <w:lang w:val="nl-NL"/>
        </w:rPr>
        <w:t>J.W. Enschedé, Amsterdam, 1906.</w:t>
      </w:r>
    </w:p>
    <w:p>
      <w:pPr>
        <w:pStyle w:val="T3Lit"/>
        <w:jc w:val="start"/>
        <w:rPr>
          <w:lang w:val="nl-NL"/>
        </w:rPr>
      </w:pPr>
      <w:r>
        <w:rPr>
          <w:lang w:val="nl-NL"/>
        </w:rPr>
      </w:r>
    </w:p>
    <w:p>
      <w:pPr>
        <w:pStyle w:val="T3Lit"/>
        <w:rPr>
          <w:lang w:val="nl-NL"/>
        </w:rPr>
      </w:pPr>
      <w:r>
        <w:rPr>
          <w:lang w:val="nl-NL"/>
        </w:rPr>
        <w:t>Orgelnummer 160</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Gabry &amp; Zoon</w:t>
      </w:r>
    </w:p>
    <w:p>
      <w:pPr>
        <w:pStyle w:val="T1"/>
        <w:rPr>
          <w:lang w:val="nl-NL"/>
        </w:rPr>
      </w:pPr>
      <w:r>
        <w:rPr>
          <w:lang w:val="nl-NL"/>
        </w:rPr>
        <w:t>2. J. Hoogenes</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1. 1904</w:t>
      </w:r>
    </w:p>
    <w:p>
      <w:pPr>
        <w:pStyle w:val="T1"/>
        <w:rPr>
          <w:lang w:val="en-GB"/>
        </w:rPr>
      </w:pPr>
      <w:r>
        <w:rPr>
          <w:lang w:val="en-GB"/>
        </w:rPr>
        <w:t>2. 1974</w:t>
      </w:r>
    </w:p>
    <w:p>
      <w:pPr>
        <w:pStyle w:val="T1"/>
        <w:rPr>
          <w:lang w:val="en-GB"/>
        </w:rPr>
      </w:pPr>
      <w:r>
        <w:rPr>
          <w:lang w:val="en-GB"/>
        </w:rPr>
      </w:r>
    </w:p>
    <w:p>
      <w:pPr>
        <w:pStyle w:val="T1"/>
        <w:rPr/>
      </w:pPr>
      <w:r>
        <w:rPr/>
        <w:t>Dispositie 1904</w:t>
      </w:r>
    </w:p>
    <w:tbl>
      <w:tblPr>
        <w:tblW w:w="2268" w:type="dxa"/>
        <w:jc w:val="start"/>
        <w:tblInd w:w="-108" w:type="dxa"/>
        <w:tblLayout w:type="fixed"/>
        <w:tblCellMar>
          <w:top w:w="0" w:type="dxa"/>
          <w:start w:w="108" w:type="dxa"/>
          <w:bottom w:w="0" w:type="dxa"/>
          <w:end w:w="108" w:type="dxa"/>
        </w:tblCellMar>
      </w:tblPr>
      <w:tblGrid>
        <w:gridCol w:w="1368"/>
        <w:gridCol w:w="900"/>
      </w:tblGrid>
      <w:tr>
        <w:trPr/>
        <w:tc>
          <w:tcPr>
            <w:tcW w:w="1368" w:type="dxa"/>
            <w:tcBorders/>
          </w:tcPr>
          <w:p>
            <w:pPr>
              <w:pStyle w:val="T4dispositie"/>
              <w:rPr>
                <w:i/>
                <w:i/>
                <w:iCs/>
              </w:rPr>
            </w:pPr>
            <w:r>
              <w:rPr>
                <w:i/>
                <w:iCs/>
              </w:rPr>
              <w:t>Manuaal</w:t>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Holpijp</w:t>
            </w:r>
          </w:p>
          <w:p>
            <w:pPr>
              <w:pStyle w:val="T4dispositie"/>
              <w:rPr>
                <w:lang w:val="fr-FR"/>
              </w:rPr>
            </w:pPr>
            <w:r>
              <w:rPr>
                <w:lang w:val="fr-FR"/>
              </w:rPr>
              <w:t>Viola</w:t>
            </w:r>
          </w:p>
          <w:p>
            <w:pPr>
              <w:pStyle w:val="T4dispositie"/>
              <w:rPr>
                <w:lang w:val="fr-FR"/>
              </w:rPr>
            </w:pPr>
            <w:r>
              <w:rPr>
                <w:lang w:val="fr-FR"/>
              </w:rPr>
              <w:t>Octaaf</w:t>
            </w:r>
          </w:p>
          <w:p>
            <w:pPr>
              <w:pStyle w:val="T4dispositie"/>
              <w:rPr>
                <w:lang w:val="fr-FR"/>
              </w:rPr>
            </w:pPr>
            <w:r>
              <w:rPr>
                <w:lang w:val="fr-FR"/>
              </w:rPr>
              <w:t>Fluit</w:t>
            </w:r>
          </w:p>
          <w:p>
            <w:pPr>
              <w:pStyle w:val="T4dispositie"/>
              <w:rPr>
                <w:lang w:val="fr-FR"/>
              </w:rPr>
            </w:pPr>
            <w:r>
              <w:rPr>
                <w:lang w:val="fr-FR"/>
              </w:rPr>
              <w:t>Quint</w:t>
            </w:r>
          </w:p>
          <w:p>
            <w:pPr>
              <w:pStyle w:val="T4dispositie"/>
              <w:rPr/>
            </w:pPr>
            <w:r>
              <w:rPr/>
              <w:t>Octaaf</w:t>
            </w:r>
          </w:p>
          <w:p>
            <w:pPr>
              <w:pStyle w:val="T4dispositie"/>
              <w:rPr/>
            </w:pPr>
            <w:r>
              <w:rPr/>
              <w:t>Cornet</w:t>
            </w:r>
          </w:p>
          <w:p>
            <w:pPr>
              <w:pStyle w:val="T4dispositie"/>
              <w:rPr/>
            </w:pPr>
            <w:r>
              <w:rPr/>
              <w:t>Trompet</w:t>
            </w:r>
          </w:p>
        </w:tc>
        <w:tc>
          <w:tcPr>
            <w:tcW w:w="900"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r>
              <w:rPr>
                <w:lang w:val="en-GB"/>
              </w:rPr>
              <w:t>'</w:t>
            </w:r>
          </w:p>
          <w:p>
            <w:pPr>
              <w:pStyle w:val="T4dispositie"/>
              <w:rPr/>
            </w:pPr>
            <w:r>
              <w:rPr/>
              <w:t>2</w:t>
            </w:r>
            <w:r>
              <w:rPr>
                <w:lang w:val="en-GB"/>
              </w:rPr>
              <w:t>'</w:t>
            </w:r>
          </w:p>
          <w:p>
            <w:pPr>
              <w:pStyle w:val="T4dispositie"/>
              <w:rPr/>
            </w:pPr>
            <w:r>
              <w:rPr/>
              <w:t>5 st.</w:t>
            </w:r>
          </w:p>
          <w:p>
            <w:pPr>
              <w:pStyle w:val="T4dispositie"/>
              <w:rPr/>
            </w:pPr>
            <w:r>
              <w:rPr/>
              <w:t>8</w:t>
            </w:r>
            <w:r>
              <w:rPr>
                <w:lang w:val="nl-NL"/>
              </w:rPr>
              <w:t>'</w:t>
            </w:r>
          </w:p>
        </w:tc>
      </w:tr>
    </w:tbl>
    <w:p>
      <w:pPr>
        <w:pStyle w:val="T4dispositie"/>
        <w:rPr>
          <w:lang w:val="en-GB"/>
        </w:rPr>
      </w:pPr>
      <w:r>
        <w:rPr>
          <w:lang w:val="en-GB"/>
        </w:rPr>
      </w:r>
    </w:p>
    <w:p>
      <w:pPr>
        <w:pStyle w:val="T4dispositie"/>
        <w:rPr>
          <w:lang w:val="en-GB"/>
        </w:rPr>
      </w:pPr>
      <w:r>
        <w:rPr>
          <w:lang w:val="en-GB"/>
        </w:rPr>
        <w:t>aangehangen pedaal</w:t>
      </w:r>
    </w:p>
    <w:p>
      <w:pPr>
        <w:pStyle w:val="T4dispositie"/>
        <w:rPr>
          <w:lang w:val="en-GB"/>
        </w:rPr>
      </w:pPr>
      <w:r>
        <w:rPr>
          <w:lang w:val="en-GB"/>
        </w:rPr>
      </w:r>
    </w:p>
    <w:p>
      <w:pPr>
        <w:pStyle w:val="T1"/>
        <w:rPr>
          <w:lang w:val="nl-NL"/>
        </w:rPr>
      </w:pPr>
      <w:r>
        <w:rPr>
          <w:lang w:val="nl-NL"/>
        </w:rPr>
        <w:t>J. de Koff &amp; Zn 1931</w:t>
      </w:r>
    </w:p>
    <w:p>
      <w:pPr>
        <w:pStyle w:val="T1"/>
        <w:numPr>
          <w:ilvl w:val="0"/>
          <w:numId w:val="2"/>
        </w:numPr>
        <w:rPr>
          <w:lang w:val="nl-NL"/>
        </w:rPr>
      </w:pPr>
      <w:r>
        <w:rPr>
          <w:lang w:val="nl-NL"/>
        </w:rPr>
        <w:t>herstel</w:t>
      </w:r>
    </w:p>
    <w:p>
      <w:pPr>
        <w:pStyle w:val="T1"/>
        <w:rPr>
          <w:lang w:val="nl-NL"/>
        </w:rPr>
      </w:pPr>
      <w:r>
        <w:rPr>
          <w:lang w:val="nl-NL"/>
        </w:rPr>
      </w:r>
    </w:p>
    <w:p>
      <w:pPr>
        <w:pStyle w:val="T1"/>
        <w:rPr>
          <w:lang w:val="nl-NL"/>
        </w:rPr>
      </w:pPr>
      <w:r>
        <w:rPr>
          <w:lang w:val="nl-NL"/>
        </w:rPr>
        <w:t>J. de Koff &amp; Zn 1958</w:t>
      </w:r>
    </w:p>
    <w:p>
      <w:pPr>
        <w:pStyle w:val="T1"/>
        <w:numPr>
          <w:ilvl w:val="0"/>
          <w:numId w:val="2"/>
        </w:numPr>
        <w:rPr>
          <w:lang w:val="nl-NL"/>
        </w:rPr>
      </w:pPr>
      <w:r>
        <w:rPr>
          <w:lang w:val="nl-NL"/>
        </w:rPr>
        <w:t>restauratie</w:t>
      </w:r>
    </w:p>
    <w:p>
      <w:pPr>
        <w:pStyle w:val="T1"/>
        <w:rPr>
          <w:lang w:val="nl-NL"/>
        </w:rPr>
      </w:pPr>
      <w:r>
        <w:rPr>
          <w:lang w:val="nl-NL"/>
        </w:rPr>
      </w:r>
    </w:p>
    <w:p>
      <w:pPr>
        <w:pStyle w:val="T1"/>
        <w:rPr>
          <w:lang w:val="nl-NL"/>
        </w:rPr>
      </w:pPr>
      <w:r>
        <w:rPr>
          <w:lang w:val="nl-NL"/>
        </w:rPr>
        <w:t>J. Hoogenes 1974</w:t>
      </w:r>
    </w:p>
    <w:p>
      <w:pPr>
        <w:pStyle w:val="T1"/>
        <w:numPr>
          <w:ilvl w:val="0"/>
          <w:numId w:val="2"/>
        </w:numPr>
        <w:rPr>
          <w:lang w:val="nl-NL"/>
        </w:rPr>
      </w:pPr>
      <w:r>
        <w:rPr>
          <w:lang w:val="nl-NL"/>
        </w:rPr>
        <w:t>orgel verbouwd en uitgebreid met Man II en Ped</w:t>
      </w:r>
    </w:p>
    <w:p>
      <w:pPr>
        <w:pStyle w:val="T1"/>
        <w:rPr>
          <w:lang w:val="nl-NL"/>
        </w:rPr>
      </w:pPr>
      <w:r>
        <w:rPr>
          <w:lang w:val="nl-NL"/>
        </w:rPr>
      </w:r>
    </w:p>
    <w:p>
      <w:pPr>
        <w:pStyle w:val="T1"/>
        <w:rPr>
          <w:lang w:val="nl-NL"/>
        </w:rPr>
      </w:pPr>
      <w:r>
        <w:rPr>
          <w:lang w:val="nl-NL"/>
        </w:rPr>
        <w:t>Pels &amp; Van Leeuwen 1984</w:t>
      </w:r>
    </w:p>
    <w:p>
      <w:pPr>
        <w:pStyle w:val="T1"/>
        <w:numPr>
          <w:ilvl w:val="0"/>
          <w:numId w:val="2"/>
        </w:numPr>
        <w:rPr>
          <w:lang w:val="nl-NL"/>
        </w:rPr>
      </w:pPr>
      <w:r>
        <w:rPr>
          <w:lang w:val="nl-NL"/>
        </w:rPr>
        <w:t>binnenwerk opnieuw ingedeeld</w:t>
      </w:r>
    </w:p>
    <w:p>
      <w:pPr>
        <w:pStyle w:val="T1"/>
        <w:numPr>
          <w:ilvl w:val="0"/>
          <w:numId w:val="2"/>
        </w:numPr>
        <w:rPr>
          <w:lang w:val="nl-NL"/>
        </w:rPr>
      </w:pPr>
      <w:r>
        <w:rPr>
          <w:lang w:val="nl-NL"/>
        </w:rPr>
        <w:t>herintonatie</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I, manuaal II, pedaal</w:t>
      </w:r>
    </w:p>
    <w:p>
      <w:pPr>
        <w:pStyle w:val="T1"/>
        <w:rPr>
          <w:lang w:val="nl-NL"/>
        </w:rPr>
      </w:pPr>
      <w:r>
        <w:rPr>
          <w:lang w:val="nl-NL"/>
        </w:rPr>
      </w:r>
    </w:p>
    <w:p>
      <w:pPr>
        <w:pStyle w:val="T1"/>
        <w:rPr/>
      </w:pPr>
      <w:r>
        <w:rPr/>
        <w:t xml:space="preserve">Dispositie </w:t>
      </w:r>
    </w:p>
    <w:tbl>
      <w:tblPr>
        <w:tblW w:w="6768" w:type="dxa"/>
        <w:jc w:val="start"/>
        <w:tblInd w:w="-108" w:type="dxa"/>
        <w:tblLayout w:type="fixed"/>
        <w:tblCellMar>
          <w:top w:w="0" w:type="dxa"/>
          <w:start w:w="108" w:type="dxa"/>
          <w:bottom w:w="0" w:type="dxa"/>
          <w:end w:w="108" w:type="dxa"/>
        </w:tblCellMar>
      </w:tblPr>
      <w:tblGrid>
        <w:gridCol w:w="1728"/>
        <w:gridCol w:w="720"/>
        <w:gridCol w:w="1440"/>
        <w:gridCol w:w="720"/>
        <w:gridCol w:w="1260"/>
        <w:gridCol w:w="900"/>
      </w:tblGrid>
      <w:tr>
        <w:trPr/>
        <w:tc>
          <w:tcPr>
            <w:tcW w:w="1728" w:type="dxa"/>
            <w:tcBorders/>
          </w:tcPr>
          <w:p>
            <w:pPr>
              <w:pStyle w:val="T4dispositie"/>
              <w:rPr>
                <w:i/>
                <w:i/>
                <w:iCs/>
                <w:lang w:val="nl-NL"/>
              </w:rPr>
            </w:pPr>
            <w:r>
              <w:rPr>
                <w:i/>
                <w:iCs/>
                <w:lang w:val="nl-NL"/>
              </w:rPr>
              <w:t>Manuaal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Gedekte 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5 st.</w:t>
            </w:r>
          </w:p>
          <w:p>
            <w:pPr>
              <w:pStyle w:val="T4dispositie"/>
              <w:rPr>
                <w:lang w:val="nl-NL"/>
              </w:rPr>
            </w:pPr>
            <w:r>
              <w:rPr>
                <w:lang w:val="nl-NL"/>
              </w:rPr>
              <w:t>8'</w:t>
            </w:r>
          </w:p>
        </w:tc>
        <w:tc>
          <w:tcPr>
            <w:tcW w:w="1440" w:type="dxa"/>
            <w:tcBorders/>
          </w:tcPr>
          <w:p>
            <w:pPr>
              <w:pStyle w:val="T4dispositie"/>
              <w:rPr>
                <w:i/>
                <w:i/>
                <w:iCs/>
                <w:lang w:val="nl-NL"/>
              </w:rPr>
            </w:pPr>
            <w:r>
              <w:rPr>
                <w:i/>
                <w:iCs/>
                <w:lang w:val="nl-NL"/>
              </w:rPr>
              <w:t>Manuaal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Echo-Trompet</w:t>
            </w:r>
          </w:p>
          <w:p>
            <w:pPr>
              <w:pStyle w:val="T4dispositie"/>
              <w:rPr>
                <w:lang w:val="nl-NL"/>
              </w:rPr>
            </w:pPr>
            <w:r>
              <w:rPr>
                <w:lang w:val="nl-NL"/>
              </w:rPr>
              <w:t>Hobo</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3 st.*</w:t>
            </w:r>
          </w:p>
          <w:p>
            <w:pPr>
              <w:pStyle w:val="T4dispositie"/>
              <w:rPr>
                <w:lang w:val="en-GB"/>
              </w:rPr>
            </w:pPr>
            <w:r>
              <w:rPr>
                <w:lang w:val="en-GB"/>
              </w:rPr>
              <w:t>16'</w:t>
            </w:r>
          </w:p>
          <w:p>
            <w:pPr>
              <w:pStyle w:val="T4dispositie"/>
              <w:rPr>
                <w:lang w:val="en-GB"/>
              </w:rPr>
            </w:pPr>
            <w:r>
              <w:rPr>
                <w:lang w:val="en-GB"/>
              </w:rPr>
              <w:t>8'</w:t>
            </w:r>
          </w:p>
        </w:tc>
        <w:tc>
          <w:tcPr>
            <w:tcW w:w="126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Roerquint</w:t>
            </w:r>
          </w:p>
          <w:p>
            <w:pPr>
              <w:pStyle w:val="T4dispositie"/>
              <w:rPr>
                <w:lang w:val="nl-NL"/>
              </w:rPr>
            </w:pPr>
            <w:r>
              <w:rPr>
                <w:lang w:val="nl-NL"/>
              </w:rPr>
              <w:t>Octaaf</w:t>
            </w:r>
          </w:p>
          <w:p>
            <w:pPr>
              <w:pStyle w:val="T4dispositie"/>
              <w:rPr>
                <w:lang w:val="nl-NL"/>
              </w:rPr>
            </w:pPr>
            <w:r>
              <w:rPr>
                <w:lang w:val="nl-NL"/>
              </w:rPr>
              <w:t>Fagot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16'</w:t>
            </w:r>
          </w:p>
        </w:tc>
      </w:tr>
    </w:tbl>
    <w:p>
      <w:pPr>
        <w:pStyle w:val="T4dispositie"/>
        <w:rPr/>
      </w:pPr>
      <w:r>
        <w:rPr/>
        <w:t>* in werkelijkheid 2 st.</w:t>
      </w:r>
    </w:p>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koppelingen (uitgevoerd als knop en trede) Man I-II, Ped-Man I, Ped-Man II</w:t>
      </w:r>
    </w:p>
    <w:p>
      <w:pPr>
        <w:pStyle w:val="T1"/>
        <w:rPr>
          <w:lang w:val="nl-NL"/>
        </w:rPr>
      </w:pPr>
      <w:r>
        <w:rPr>
          <w:lang w:val="nl-NL"/>
        </w:rPr>
        <w:t>tremulant Man II</w:t>
      </w:r>
    </w:p>
    <w:p>
      <w:pPr>
        <w:pStyle w:val="T1"/>
        <w:rPr>
          <w:lang w:val="nl-NL"/>
        </w:rPr>
      </w:pPr>
      <w:r>
        <w:rPr>
          <w:lang w:val="nl-NL"/>
        </w:rPr>
        <w:t>trede zwelkast Man II</w:t>
      </w:r>
    </w:p>
    <w:p>
      <w:pPr>
        <w:pStyle w:val="T1"/>
        <w:rPr>
          <w:lang w:val="nl-NL"/>
        </w:rPr>
      </w:pPr>
      <w:r>
        <w:rPr>
          <w:lang w:val="nl-NL"/>
        </w:rPr>
        <w:t>wind (motorschakelaar)</w:t>
      </w:r>
    </w:p>
    <w:p>
      <w:pPr>
        <w:pStyle w:val="T1"/>
        <w:rPr>
          <w:lang w:val="nl-NL"/>
        </w:rPr>
      </w:pPr>
      <w:r>
        <w:rPr>
          <w:lang w:val="nl-NL"/>
        </w:rPr>
      </w:r>
    </w:p>
    <w:p>
      <w:pPr>
        <w:pStyle w:val="T1"/>
        <w:rPr/>
      </w:pPr>
      <w:r>
        <w:rPr/>
        <w:t>Samenstelling vulstemmen</w:t>
      </w:r>
    </w:p>
    <w:tbl>
      <w:tblPr>
        <w:tblW w:w="4528" w:type="dxa"/>
        <w:jc w:val="start"/>
        <w:tblInd w:w="-70" w:type="dxa"/>
        <w:tblLayout w:type="fixed"/>
        <w:tblCellMar>
          <w:top w:w="0" w:type="dxa"/>
          <w:start w:w="70" w:type="dxa"/>
          <w:bottom w:w="0" w:type="dxa"/>
          <w:end w:w="70" w:type="dxa"/>
        </w:tblCellMar>
      </w:tblPr>
      <w:tblGrid>
        <w:gridCol w:w="1645"/>
        <w:gridCol w:w="718"/>
        <w:gridCol w:w="718"/>
        <w:gridCol w:w="718"/>
        <w:gridCol w:w="729"/>
      </w:tblGrid>
      <w:tr>
        <w:trPr/>
        <w:tc>
          <w:tcPr>
            <w:tcW w:w="1645" w:type="dxa"/>
            <w:tcBorders/>
          </w:tcPr>
          <w:p>
            <w:pPr>
              <w:pStyle w:val="T1"/>
              <w:rPr>
                <w:lang w:val="en-GB"/>
              </w:rPr>
            </w:pPr>
            <w:r>
              <w:rPr>
                <w:lang w:val="en-GB"/>
              </w:rPr>
              <w:t>Mixtuur Man I</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rPr>
          <w:lang w:val="en-GB"/>
        </w:rPr>
      </w:pPr>
      <w:r>
        <w:rPr>
          <w:lang w:val="en-GB"/>
        </w:rPr>
      </w:r>
    </w:p>
    <w:p>
      <w:pPr>
        <w:pStyle w:val="T1"/>
        <w:rPr>
          <w:lang w:val="en-GB"/>
        </w:rPr>
      </w:pPr>
      <w:r>
        <w:rPr>
          <w:lang w:val="en-GB"/>
        </w:rPr>
        <w:t xml:space="preserve">Cornet Man I    </w:t>
      </w:r>
      <w:r>
        <w:rPr>
          <w:sz w:val="20"/>
        </w:rPr>
        <w:t>c</w:t>
      </w:r>
      <w:r>
        <w:rPr>
          <w:sz w:val="20"/>
          <w:vertAlign w:val="superscript"/>
        </w:rPr>
        <w:t>1</w:t>
      </w:r>
      <w:r>
        <w:rPr>
          <w:sz w:val="20"/>
        </w:rPr>
        <w:t xml:space="preserve">   8 - 4 - 2 2/3 - 2 - 1 3/5</w:t>
      </w:r>
    </w:p>
    <w:p>
      <w:pPr>
        <w:pStyle w:val="T1"/>
        <w:rPr>
          <w:lang w:val="en-GB"/>
        </w:rPr>
      </w:pPr>
      <w:r>
        <w:rPr>
          <w:lang w:val="en-GB"/>
        </w:rPr>
      </w:r>
    </w:p>
    <w:p>
      <w:pPr>
        <w:pStyle w:val="T1"/>
        <w:rPr>
          <w:lang w:val="nl-NL"/>
        </w:rPr>
      </w:pPr>
      <w:r>
        <w:rPr>
          <w:lang w:val="nl-NL"/>
        </w:rPr>
      </w:r>
    </w:p>
    <w:tbl>
      <w:tblPr>
        <w:tblW w:w="4528" w:type="dxa"/>
        <w:jc w:val="start"/>
        <w:tblInd w:w="-70" w:type="dxa"/>
        <w:tblLayout w:type="fixed"/>
        <w:tblCellMar>
          <w:top w:w="0" w:type="dxa"/>
          <w:start w:w="70" w:type="dxa"/>
          <w:bottom w:w="0" w:type="dxa"/>
          <w:end w:w="70" w:type="dxa"/>
        </w:tblCellMar>
      </w:tblPr>
      <w:tblGrid>
        <w:gridCol w:w="1645"/>
        <w:gridCol w:w="718"/>
        <w:gridCol w:w="718"/>
        <w:gridCol w:w="718"/>
        <w:gridCol w:w="729"/>
      </w:tblGrid>
      <w:tr>
        <w:trPr/>
        <w:tc>
          <w:tcPr>
            <w:tcW w:w="1645" w:type="dxa"/>
            <w:tcBorders/>
          </w:tcPr>
          <w:p>
            <w:pPr>
              <w:pStyle w:val="T1"/>
              <w:rPr>
                <w:lang w:val="nl-NL"/>
              </w:rPr>
            </w:pPr>
            <w:r>
              <w:rPr>
                <w:lang w:val="nl-NL"/>
              </w:rPr>
              <w:t>Mixtuur Man II</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tc>
      </w:tr>
    </w:tbl>
    <w:p>
      <w:pPr>
        <w:pStyle w:val="T1"/>
        <w:rPr>
          <w:lang w:val="en-GB"/>
        </w:rPr>
      </w:pPr>
      <w:r>
        <w:rPr>
          <w:lang w:val="en-GB"/>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C-f</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Man I en Ped 82 mm, Man II 86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De originele delen van de kas zijn van naaldhout, voor nieuwe delen is plaatmateriaal gebruikt.</w:t>
      </w:r>
    </w:p>
    <w:p>
      <w:pPr>
        <w:pStyle w:val="T1"/>
        <w:jc w:val="start"/>
        <w:rPr/>
      </w:pPr>
      <w:r>
        <w:rPr/>
        <w:t>Van de volledig nieuwe klaviatuur zijn raamwerk en toetsen van eiken. De ondertoetsen van de handklavieren zijn belegd met kunststof, de boventoetsen zijn van ebben. De palissander registerknoppen hebben naamplaatjes van kunststof.</w:t>
      </w:r>
    </w:p>
    <w:p>
      <w:pPr>
        <w:pStyle w:val="T1"/>
        <w:jc w:val="start"/>
        <w:rPr/>
      </w:pPr>
      <w:r>
        <w:rPr/>
        <w:t>De balg ligt in een bekisting vlak achter de orgelkas.</w:t>
      </w:r>
    </w:p>
    <w:p>
      <w:pPr>
        <w:pStyle w:val="T1"/>
        <w:jc w:val="start"/>
        <w:rPr>
          <w:lang w:val="nl-NL"/>
        </w:rPr>
      </w:pPr>
      <w:r>
        <w:rPr>
          <w:lang w:val="nl-NL"/>
        </w:rPr>
        <w:t>Op de galerijvloer staat de Man I-lade en de lade van het Ped. De laatste staat haaks op het front, aan de rechterzijde. De met snijwerk versierde gaten in de onderkas aan de frontzijde zijn bij de laatste ombouw aangebracht om de klankuitstraling van het Man I te vergroten. De Man II-lade bevindt zich direct achter het frontpijpwerk.</w:t>
      </w:r>
    </w:p>
    <w:p>
      <w:pPr>
        <w:pStyle w:val="T1"/>
        <w:jc w:val="start"/>
        <w:rPr/>
      </w:pPr>
      <w:r>
        <w:rPr>
          <w:lang w:val="nl-NL"/>
        </w:rPr>
        <w:t>De Ped-lade heeft een indeling waarbij van links naar rechts de chromatische reeks d-C wordt afgewisseld door de reeks dis-f</w:t>
      </w:r>
      <w:r>
        <w:rPr>
          <w:vertAlign w:val="superscript"/>
          <w:lang w:val="nl-NL"/>
        </w:rPr>
        <w:t>1</w:t>
      </w:r>
      <w:r>
        <w:rPr>
          <w:lang w:val="nl-NL"/>
        </w:rPr>
        <w:t xml:space="preserve">. De windladen van de manualen hebben een opstelling in C- en Cis-zijde waarbij de indeling van het front nagenoeg wordt gevolgd. </w:t>
      </w:r>
      <w:r>
        <w:rPr/>
        <w:t>Alle windladen zijn uitgevoerd als mechanische sleepladen, nieuw en toegeleverd, evenals de toets- en registermechaniek. Afgevoerde pijpen worden gevoed middels flexibele conducten.</w:t>
      </w:r>
    </w:p>
    <w:p>
      <w:pPr>
        <w:pStyle w:val="T1"/>
        <w:jc w:val="start"/>
        <w:rPr/>
      </w:pPr>
      <w:r>
        <w:rPr/>
        <w:t xml:space="preserve">Het grootste deel van het pijpwerk is nieuw en toegeleverd. </w:t>
      </w:r>
      <w:r>
        <w:rPr>
          <w:lang w:val="nl-NL"/>
        </w:rPr>
        <w:t>De registers Holpijp 8', Gamba 8' en Octaaf 4'(Man II) zijn geheel afkomstig uit het oorspronkelijke orgel van Gabry, evenals een deel van de Nasard 2 2/3'; op het Man I is de Prestant deels en de Cornet geheel van Gabry.</w:t>
      </w:r>
    </w:p>
    <w:p>
      <w:pPr>
        <w:pStyle w:val="T1"/>
        <w:jc w:val="start"/>
        <w:rPr/>
      </w:pPr>
      <w:r>
        <w:rPr/>
        <w:t xml:space="preserve">De Subbas 16' en de Gedekt 8' (Ped) zijn ontleend aan één pijpenreeks. </w:t>
      </w:r>
      <w:r>
        <w:rPr>
          <w:lang w:val="nl-NL"/>
        </w:rPr>
        <w:t>De Cornet (Man I) staat op verhoogde banken, vrijwel vooraan op de lade. C-H van de Prestant en Gamba (Man II) zijn gecombineerd; de Holpijp (Man II) heeft eigen houten pijpen voor C-H.</w:t>
      </w:r>
    </w:p>
    <w:p>
      <w:pPr>
        <w:pStyle w:val="T1"/>
        <w:jc w:val="start"/>
        <w:rPr/>
      </w:pPr>
      <w:r>
        <w:rPr/>
        <w:t xml:space="preserve">Alle tongwerken hebben metalen stevels en bekers, C-H van de Fagot is voorzien van houten stevels met membranen. </w:t>
      </w:r>
      <w:r>
        <w:rPr>
          <w:lang w:val="nl-NL"/>
        </w:rPr>
        <w:t>De Echo-Trompet (Man II) heeft bekers van halve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uppressAutoHyphens w:val="true"/>
      <w:spacing w:before="240" w:after="120"/>
    </w:pPr>
    <w:rPr>
      <w:rFonts w:ascii="Arial" w:hAnsi="Arial" w:eastAsia="DejaVu Sans;Times New Roman" w:cs="Arial"/>
      <w:kern w:val="2"/>
      <w:sz w:val="28"/>
      <w:szCs w:val="28"/>
    </w:rPr>
  </w:style>
  <w:style w:type="paragraph" w:styleId="TextBody">
    <w:name w:val="Body Text"/>
    <w:basedOn w:val="Normal"/>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uppressAutoHyphens w:val="true"/>
      <w:spacing w:before="120" w:after="120"/>
    </w:pPr>
    <w:rPr>
      <w:rFonts w:ascii="Times New Roman" w:hAnsi="Times New Roman" w:eastAsia="DejaVu Sans;Times New Roman" w:cs="Times New Roman"/>
      <w:i/>
      <w:iCs/>
      <w:kern w:val="2"/>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2008-03-05T16:23:00Z</dcterms:created>
  <dc:creator>WS1</dc:creator>
  <dc:description/>
  <dc:language>en-US</dc:language>
  <cp:lastModifiedBy>Hans Steketee</cp:lastModifiedBy>
  <dcterms:modified xsi:type="dcterms:W3CDTF">2009-09-25T10:25:00Z</dcterms:modified>
  <cp:revision>18</cp:revision>
  <dc:subject/>
  <dc:title>Lunteren/ca 1845</dc:title>
</cp:coreProperties>
</file>