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Borssele / 1903</w:t>
      </w:r>
    </w:p>
    <w:p>
      <w:pPr>
        <w:pStyle w:val="Heading2"/>
        <w:ind w:start="0" w:end="0" w:hanging="0"/>
        <w:rPr>
          <w:i w:val="false"/>
          <w:i w:val="false"/>
          <w:iCs/>
        </w:rPr>
      </w:pPr>
      <w:r>
        <w:rPr>
          <w:i w:val="false"/>
          <w:iCs/>
        </w:rPr>
        <w:t>Hervormde Kerk</w:t>
      </w:r>
    </w:p>
    <w:p>
      <w:pPr>
        <w:pStyle w:val="T1"/>
        <w:rPr>
          <w:i w:val="false"/>
          <w:i w:val="false"/>
          <w:iCs w:val="false"/>
        </w:rPr>
      </w:pPr>
      <w:r>
        <w:rPr>
          <w:i w:val="false"/>
          <w:iCs w:val="false"/>
        </w:rPr>
      </w:r>
    </w:p>
    <w:p>
      <w:pPr>
        <w:pStyle w:val="T1"/>
        <w:rPr/>
      </w:pPr>
      <w:r>
        <w:rPr>
          <w:rStyle w:val="StrongEmphasis"/>
          <w:b w:val="false"/>
          <w:bCs w:val="false"/>
        </w:rPr>
        <w:t>Kerkgebouw naar ontwerp van architect A. de Muijnck, gebouwd in 1846-1851. De toren raakte in 1965 beschadigd en werd twee jaar later hersteld.</w:t>
      </w:r>
    </w:p>
    <w:p>
      <w:pPr>
        <w:pStyle w:val="T1"/>
        <w:rPr>
          <w:rStyle w:val="StrongEmphasis"/>
          <w:b w:val="false"/>
          <w:b w:val="false"/>
          <w:bCs w:val="false"/>
          <w:i w:val="false"/>
          <w:i w:val="false"/>
          <w:iCs w:val="false"/>
        </w:rPr>
      </w:pPr>
      <w:r>
        <w:rPr/>
      </w:r>
    </w:p>
    <w:p>
      <w:pPr>
        <w:pStyle w:val="T1"/>
        <w:rPr>
          <w:i w:val="false"/>
          <w:i w:val="false"/>
          <w:iCs w:val="false"/>
        </w:rPr>
      </w:pPr>
      <w:r>
        <w:rPr>
          <w:i w:val="false"/>
          <w:iCs w:val="false"/>
        </w:rPr>
        <w:t>Kas: 1903</w:t>
      </w:r>
    </w:p>
    <w:p>
      <w:pPr>
        <w:pStyle w:val="T1"/>
        <w:rPr>
          <w:i w:val="false"/>
          <w:i w:val="false"/>
          <w:iCs w:val="false"/>
        </w:rPr>
      </w:pPr>
      <w:r>
        <w:rPr>
          <w:i w:val="false"/>
          <w:iCs w:val="false"/>
        </w:rPr>
      </w:r>
    </w:p>
    <w:p>
      <w:pPr>
        <w:pStyle w:val="Heading2"/>
        <w:ind w:start="0" w:end="0" w:hanging="0"/>
        <w:rPr>
          <w:i w:val="false"/>
          <w:i w:val="false"/>
          <w:iCs/>
        </w:rPr>
      </w:pPr>
      <w:r>
        <w:rPr>
          <w:i w:val="false"/>
          <w:iCs/>
        </w:rPr>
        <w:t>Kunsthistorische aspecten</w:t>
      </w:r>
    </w:p>
    <w:p>
      <w:pPr>
        <w:pStyle w:val="T2Kunst"/>
        <w:jc w:val="start"/>
        <w:rPr/>
      </w:pPr>
      <w:r>
        <w:rPr/>
        <w:t>Een vijfdelig front met eenvoudig lijstwerk. Drie kleine pijptorens op consoles van opkrullend bladwerk met enkele hangende knoppen. Aan de bovenzijde zijn de torens gedecoreerd met rankwerk, een geprofileerde lijst en een wat abstract schild met boogmotief. De tussenvelden staan op een verhoogde pijpstok, die is versierd met rankwerk van dezelfde snit als dat bovenaan de pijptorens. De pijpvelden worden afgesloten door vrij rankwerk dat om een lange hangende C-voluut is gedrapeerd. In de vleugelstukken van het orgel domineert een aan een voluut ontspringende hoorn met bloemen. Onder aan het orgel tenslotte een vermelding van de schenkers van het instrument, alsmede een wapenbord. Het brengt familiewapens bijeen van het adellijke echtpaar dat het orgel schonk: een zwart schild met een zilveren balk van Borssele, een schild met twee zalmen en kruisen van Brakell. De schilden worden samengehouden door een eenhoorn en een leeuw. Volgens verhalen is de leeuw de enige vijand van de eenhoorn, hier onder het orgel trekken ze samen op.</w:t>
      </w:r>
    </w:p>
    <w:p>
      <w:pPr>
        <w:pStyle w:val="T3Lit"/>
        <w:jc w:val="start"/>
        <w:rPr>
          <w:lang w:val="nl-NL"/>
        </w:rPr>
      </w:pPr>
      <w:r>
        <w:rPr>
          <w:lang w:val="nl-NL"/>
        </w:rPr>
      </w:r>
    </w:p>
    <w:p>
      <w:pPr>
        <w:pStyle w:val="T3Lit"/>
        <w:jc w:val="start"/>
        <w:rPr>
          <w:lang w:val="nl-NL"/>
        </w:rPr>
      </w:pPr>
      <w:r>
        <w:rPr>
          <w:lang w:val="nl-NL"/>
        </w:rPr>
        <w:t>Orgelnummer 1916</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rPr>
          <w:i w:val="false"/>
          <w:i w:val="false"/>
          <w:iCs w:val="false"/>
        </w:rPr>
      </w:pPr>
      <w:r>
        <w:rPr>
          <w:i w:val="false"/>
          <w:iCs w:val="false"/>
        </w:rPr>
      </w:r>
    </w:p>
    <w:p>
      <w:pPr>
        <w:pStyle w:val="T1"/>
        <w:rPr>
          <w:i w:val="false"/>
          <w:i w:val="false"/>
          <w:iCs w:val="false"/>
        </w:rPr>
      </w:pPr>
      <w:r>
        <w:rPr>
          <w:i w:val="false"/>
          <w:iCs w:val="false"/>
        </w:rPr>
        <w:t>Bouwer</w:t>
      </w:r>
    </w:p>
    <w:p>
      <w:pPr>
        <w:pStyle w:val="T1"/>
        <w:rPr>
          <w:i w:val="false"/>
          <w:i w:val="false"/>
          <w:iCs w:val="false"/>
        </w:rPr>
      </w:pPr>
      <w:r>
        <w:rPr>
          <w:i w:val="false"/>
          <w:iCs w:val="false"/>
        </w:rPr>
        <w:t>Gebr. Adema</w:t>
      </w:r>
    </w:p>
    <w:p>
      <w:pPr>
        <w:pStyle w:val="T1"/>
        <w:rPr>
          <w:i w:val="false"/>
          <w:i w:val="false"/>
          <w:iCs w:val="false"/>
        </w:rPr>
      </w:pPr>
      <w:r>
        <w:rPr>
          <w:i w:val="false"/>
          <w:iCs w:val="false"/>
        </w:rPr>
      </w:r>
    </w:p>
    <w:p>
      <w:pPr>
        <w:pStyle w:val="T1"/>
        <w:rPr>
          <w:i w:val="false"/>
          <w:i w:val="false"/>
          <w:iCs w:val="false"/>
        </w:rPr>
      </w:pPr>
      <w:r>
        <w:rPr>
          <w:i w:val="false"/>
          <w:iCs w:val="false"/>
        </w:rPr>
        <w:t>Jaar van oplevering</w:t>
      </w:r>
    </w:p>
    <w:p>
      <w:pPr>
        <w:pStyle w:val="T1"/>
        <w:rPr>
          <w:i w:val="false"/>
          <w:i w:val="false"/>
          <w:iCs w:val="false"/>
        </w:rPr>
      </w:pPr>
      <w:r>
        <w:rPr>
          <w:i w:val="false"/>
          <w:iCs w:val="false"/>
        </w:rPr>
        <w:t>1903</w:t>
      </w:r>
    </w:p>
    <w:p>
      <w:pPr>
        <w:pStyle w:val="T1"/>
        <w:rPr>
          <w:i w:val="false"/>
          <w:i w:val="false"/>
          <w:iCs w:val="false"/>
        </w:rPr>
      </w:pPr>
      <w:r>
        <w:rPr>
          <w:i w:val="false"/>
          <w:iCs w:val="false"/>
        </w:rPr>
      </w:r>
    </w:p>
    <w:p>
      <w:pPr>
        <w:pStyle w:val="T1"/>
        <w:rPr>
          <w:i w:val="false"/>
          <w:i w:val="false"/>
          <w:iCs w:val="false"/>
        </w:rPr>
      </w:pPr>
      <w:r>
        <w:rPr>
          <w:i w:val="false"/>
          <w:iCs w:val="false"/>
        </w:rPr>
        <w:t>A.S.J. Dekker 1926</w:t>
      </w:r>
    </w:p>
    <w:p>
      <w:pPr>
        <w:pStyle w:val="T1"/>
        <w:numPr>
          <w:ilvl w:val="0"/>
          <w:numId w:val="2"/>
        </w:numPr>
        <w:rPr>
          <w:i w:val="false"/>
          <w:i w:val="false"/>
          <w:iCs w:val="false"/>
        </w:rPr>
      </w:pPr>
      <w:r>
        <w:rPr>
          <w:i w:val="false"/>
          <w:iCs w:val="false"/>
        </w:rPr>
        <w:t>restauratie</w:t>
      </w:r>
    </w:p>
    <w:p>
      <w:pPr>
        <w:pStyle w:val="T1"/>
        <w:rPr>
          <w:i w:val="false"/>
          <w:i w:val="false"/>
          <w:iCs w:val="false"/>
        </w:rPr>
      </w:pPr>
      <w:r>
        <w:rPr>
          <w:i w:val="false"/>
          <w:iCs w:val="false"/>
        </w:rPr>
      </w:r>
    </w:p>
    <w:p>
      <w:pPr>
        <w:pStyle w:val="T1"/>
        <w:rPr>
          <w:i w:val="false"/>
          <w:i w:val="false"/>
          <w:iCs w:val="false"/>
        </w:rPr>
      </w:pPr>
      <w:r>
        <w:rPr>
          <w:i w:val="false"/>
          <w:iCs w:val="false"/>
        </w:rPr>
        <w:t>S. de Wit 1997</w:t>
      </w:r>
    </w:p>
    <w:p>
      <w:pPr>
        <w:pStyle w:val="T1"/>
        <w:numPr>
          <w:ilvl w:val="0"/>
          <w:numId w:val="2"/>
        </w:numPr>
        <w:rPr>
          <w:i w:val="false"/>
          <w:i w:val="false"/>
          <w:iCs w:val="false"/>
        </w:rPr>
      </w:pPr>
      <w:r>
        <w:rPr>
          <w:i w:val="false"/>
          <w:iCs w:val="false"/>
        </w:rPr>
        <w:t>orgel gerestaureerd en gewijzigd</w:t>
      </w:r>
    </w:p>
    <w:p>
      <w:pPr>
        <w:pStyle w:val="T1"/>
        <w:numPr>
          <w:ilvl w:val="0"/>
          <w:numId w:val="2"/>
        </w:numPr>
        <w:rPr>
          <w:i w:val="false"/>
          <w:i w:val="false"/>
          <w:iCs w:val="false"/>
          <w:lang w:val="fr-FR"/>
        </w:rPr>
      </w:pPr>
      <w:r>
        <w:rPr>
          <w:i w:val="false"/>
          <w:iCs w:val="false"/>
          <w:lang w:val="fr-FR"/>
        </w:rPr>
        <w:t>- Viola D 8', + Fluit 4'</w:t>
      </w:r>
    </w:p>
    <w:p>
      <w:pPr>
        <w:pStyle w:val="T1"/>
        <w:numPr>
          <w:ilvl w:val="0"/>
          <w:numId w:val="2"/>
        </w:numPr>
        <w:rPr>
          <w:i w:val="false"/>
          <w:i w:val="false"/>
          <w:iCs w:val="false"/>
        </w:rPr>
      </w:pPr>
      <w:r>
        <w:rPr>
          <w:i w:val="false"/>
          <w:iCs w:val="false"/>
        </w:rPr>
        <w:t>Quint 2 2/3' op plaats Viola, Fluit 4' op plaats Quint</w:t>
      </w:r>
    </w:p>
    <w:p>
      <w:pPr>
        <w:pStyle w:val="T1"/>
        <w:numPr>
          <w:ilvl w:val="0"/>
          <w:numId w:val="2"/>
        </w:numPr>
        <w:rPr>
          <w:i w:val="false"/>
          <w:i w:val="false"/>
          <w:iCs w:val="false"/>
        </w:rPr>
      </w:pPr>
      <w:r>
        <w:rPr>
          <w:i w:val="false"/>
          <w:iCs w:val="false"/>
        </w:rPr>
        <w:t>elektronische Subbas 16' toegevoegd</w:t>
      </w:r>
    </w:p>
    <w:p>
      <w:pPr>
        <w:pStyle w:val="T1"/>
        <w:rPr>
          <w:i w:val="false"/>
          <w:i w:val="false"/>
          <w:iCs w:val="false"/>
        </w:rPr>
      </w:pPr>
      <w:r>
        <w:rPr>
          <w:i w:val="false"/>
          <w:iCs w:val="false"/>
        </w:rPr>
      </w:r>
    </w:p>
    <w:p>
      <w:pPr>
        <w:pStyle w:val="Heading2"/>
        <w:ind w:start="0" w:end="0" w:hanging="0"/>
        <w:rPr>
          <w:i w:val="false"/>
          <w:i w:val="false"/>
          <w:iCs/>
        </w:rPr>
      </w:pPr>
      <w:r>
        <w:rPr>
          <w:i w:val="false"/>
          <w:iCs/>
        </w:rPr>
        <w:t>Technische gegevens</w:t>
      </w:r>
    </w:p>
    <w:p>
      <w:pPr>
        <w:pStyle w:val="T1"/>
        <w:rPr>
          <w:i w:val="false"/>
          <w:i w:val="false"/>
          <w:iCs w:val="false"/>
        </w:rPr>
      </w:pPr>
      <w:r>
        <w:rPr>
          <w:i w:val="false"/>
          <w:iCs w:val="false"/>
        </w:rPr>
      </w:r>
    </w:p>
    <w:p>
      <w:pPr>
        <w:pStyle w:val="T1"/>
        <w:rPr>
          <w:i w:val="false"/>
          <w:i w:val="false"/>
          <w:iCs w:val="false"/>
        </w:rPr>
      </w:pPr>
      <w:r>
        <w:rPr>
          <w:i w:val="false"/>
          <w:iCs w:val="false"/>
        </w:rPr>
        <w:t>Werkindeling</w:t>
      </w:r>
    </w:p>
    <w:p>
      <w:pPr>
        <w:pStyle w:val="T1"/>
        <w:rPr>
          <w:i w:val="false"/>
          <w:i w:val="false"/>
          <w:iCs w:val="false"/>
        </w:rPr>
      </w:pPr>
      <w:r>
        <w:rPr>
          <w:i w:val="false"/>
          <w:iCs w:val="false"/>
        </w:rPr>
        <w:t>manuaal, aangehangen pedaal</w:t>
      </w:r>
    </w:p>
    <w:p>
      <w:pPr>
        <w:pStyle w:val="T1"/>
        <w:rPr>
          <w:i w:val="false"/>
          <w:i w:val="false"/>
          <w:iCs w:val="false"/>
        </w:rPr>
      </w:pPr>
      <w:r>
        <w:rPr>
          <w:i w:val="false"/>
          <w:iCs w:val="false"/>
        </w:rPr>
      </w:r>
    </w:p>
    <w:p>
      <w:pPr>
        <w:pStyle w:val="T1"/>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fr-FR"/>
              </w:rPr>
            </w:pPr>
            <w:r>
              <w:rPr>
                <w:lang w:val="fr-FR"/>
              </w:rPr>
              <w:t>Octaaf</w:t>
            </w:r>
          </w:p>
          <w:p>
            <w:pPr>
              <w:pStyle w:val="T4dispositie"/>
              <w:rPr>
                <w:lang w:val="fr-FR"/>
              </w:rPr>
            </w:pPr>
            <w:r>
              <w:rPr>
                <w:lang w:val="fr-FR"/>
              </w:rPr>
              <w:t>Fluit</w:t>
            </w:r>
          </w:p>
          <w:p>
            <w:pPr>
              <w:pStyle w:val="T4dispositie"/>
              <w:rPr>
                <w:lang w:val="fr-FR"/>
              </w:rPr>
            </w:pPr>
            <w:r>
              <w:rPr>
                <w:lang w:val="fr-FR"/>
              </w:rPr>
              <w:t>Quint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rPr>
          <w:i w:val="false"/>
          <w:i w:val="false"/>
          <w:iCs w:val="false"/>
        </w:rPr>
      </w:pPr>
      <w:r>
        <w:rPr>
          <w:i w:val="false"/>
          <w:iCs w:val="false"/>
        </w:rPr>
      </w:r>
    </w:p>
    <w:p>
      <w:pPr>
        <w:pStyle w:val="T1"/>
        <w:rPr>
          <w:i w:val="false"/>
          <w:i w:val="false"/>
          <w:iCs w:val="false"/>
        </w:rPr>
      </w:pPr>
      <w:r>
        <w:rPr>
          <w:i w:val="false"/>
          <w:iCs w:val="false"/>
        </w:rPr>
        <w:t>Werktuiglijk register</w:t>
      </w:r>
    </w:p>
    <w:p>
      <w:pPr>
        <w:pStyle w:val="T1"/>
        <w:rPr>
          <w:i w:val="false"/>
          <w:i w:val="false"/>
          <w:iCs w:val="false"/>
        </w:rPr>
      </w:pPr>
      <w:r>
        <w:rPr>
          <w:i w:val="false"/>
          <w:iCs w:val="false"/>
        </w:rPr>
        <w:t>tremulant</w:t>
      </w:r>
    </w:p>
    <w:p>
      <w:pPr>
        <w:pStyle w:val="T1"/>
        <w:rPr>
          <w:i w:val="false"/>
          <w:i w:val="false"/>
          <w:iCs w:val="false"/>
        </w:rPr>
      </w:pPr>
      <w:r>
        <w:rPr>
          <w:i w:val="false"/>
          <w:iCs w:val="false"/>
        </w:rPr>
      </w:r>
    </w:p>
    <w:p>
      <w:pPr>
        <w:pStyle w:val="T1"/>
        <w:rPr>
          <w:i w:val="false"/>
          <w:i w:val="false"/>
          <w:iCs w:val="false"/>
        </w:rPr>
      </w:pPr>
      <w:r>
        <w:rPr>
          <w:i w:val="false"/>
          <w:iCs w:val="false"/>
        </w:rPr>
        <w:t>Toonhoogte</w:t>
      </w:r>
    </w:p>
    <w:p>
      <w:pPr>
        <w:pStyle w:val="T1"/>
        <w:rPr/>
      </w:pPr>
      <w:r>
        <w:rPr>
          <w:i w:val="false"/>
          <w:iCs w:val="false"/>
        </w:rPr>
        <w:t>a</w:t>
      </w:r>
      <w:r>
        <w:rPr>
          <w:i w:val="false"/>
          <w:iCs w:val="false"/>
          <w:vertAlign w:val="superscript"/>
        </w:rPr>
        <w:t>1</w:t>
      </w:r>
      <w:r>
        <w:rPr>
          <w:i w:val="false"/>
          <w:iCs w:val="false"/>
        </w:rPr>
        <w:t xml:space="preserve"> = 440 Hz</w:t>
      </w:r>
    </w:p>
    <w:p>
      <w:pPr>
        <w:pStyle w:val="T1"/>
        <w:rPr>
          <w:i w:val="false"/>
          <w:i w:val="false"/>
          <w:iCs w:val="false"/>
        </w:rPr>
      </w:pPr>
      <w:r>
        <w:rPr>
          <w:i w:val="false"/>
          <w:iCs w:val="false"/>
        </w:rPr>
        <w:t>Temperatuur</w:t>
      </w:r>
    </w:p>
    <w:p>
      <w:pPr>
        <w:pStyle w:val="T1"/>
        <w:rPr>
          <w:i w:val="false"/>
          <w:i w:val="false"/>
          <w:iCs w:val="false"/>
        </w:rPr>
      </w:pPr>
      <w:r>
        <w:rPr>
          <w:i w:val="false"/>
          <w:iCs w:val="false"/>
        </w:rPr>
        <w:t>evenredig zwevend</w:t>
      </w:r>
    </w:p>
    <w:p>
      <w:pPr>
        <w:pStyle w:val="T1"/>
        <w:rPr>
          <w:i w:val="false"/>
          <w:i w:val="false"/>
          <w:iCs w:val="false"/>
        </w:rPr>
      </w:pPr>
      <w:r>
        <w:rPr>
          <w:i w:val="false"/>
          <w:iCs w:val="false"/>
        </w:rPr>
      </w:r>
    </w:p>
    <w:p>
      <w:pPr>
        <w:pStyle w:val="T1"/>
        <w:rPr>
          <w:i w:val="false"/>
          <w:i w:val="false"/>
          <w:iCs w:val="false"/>
        </w:rPr>
      </w:pPr>
      <w:r>
        <w:rPr>
          <w:i w:val="false"/>
          <w:iCs w:val="false"/>
        </w:rPr>
        <w:t>Manuaalomvang</w:t>
      </w:r>
    </w:p>
    <w:p>
      <w:pPr>
        <w:pStyle w:val="T1"/>
        <w:rPr/>
      </w:pPr>
      <w:r>
        <w:rPr>
          <w:i w:val="false"/>
          <w:iCs w:val="false"/>
        </w:rPr>
        <w:t>C-f</w:t>
      </w:r>
      <w:r>
        <w:rPr>
          <w:i w:val="false"/>
          <w:iCs w:val="false"/>
          <w:vertAlign w:val="superscript"/>
        </w:rPr>
        <w:t>3</w:t>
      </w:r>
    </w:p>
    <w:p>
      <w:pPr>
        <w:pStyle w:val="T1"/>
        <w:rPr>
          <w:i w:val="false"/>
          <w:i w:val="false"/>
          <w:iCs w:val="false"/>
        </w:rPr>
      </w:pPr>
      <w:r>
        <w:rPr>
          <w:i w:val="false"/>
          <w:iCs w:val="false"/>
        </w:rPr>
        <w:t>Pedaalomvang</w:t>
      </w:r>
    </w:p>
    <w:p>
      <w:pPr>
        <w:pStyle w:val="T1"/>
        <w:rPr>
          <w:i w:val="false"/>
          <w:i w:val="false"/>
          <w:iCs w:val="false"/>
          <w:szCs w:val="24"/>
          <w:vertAlign w:val="superscript"/>
        </w:rPr>
      </w:pPr>
      <w:r>
        <w:rPr>
          <w:i w:val="false"/>
          <w:iCs w:val="false"/>
        </w:rPr>
        <w:t>C-f</w:t>
      </w:r>
    </w:p>
    <w:p>
      <w:pPr>
        <w:pStyle w:val="T1"/>
        <w:rPr>
          <w:i w:val="false"/>
          <w:i w:val="false"/>
          <w:iCs w:val="false"/>
          <w:szCs w:val="24"/>
          <w:vertAlign w:val="superscript"/>
        </w:rPr>
      </w:pPr>
      <w:r>
        <w:rPr>
          <w:i w:val="false"/>
          <w:iCs w:val="false"/>
          <w:szCs w:val="24"/>
          <w:vertAlign w:val="superscript"/>
        </w:rPr>
      </w:r>
    </w:p>
    <w:p>
      <w:pPr>
        <w:pStyle w:val="T1"/>
        <w:rPr>
          <w:i w:val="false"/>
          <w:i w:val="false"/>
          <w:iCs w:val="false"/>
        </w:rPr>
      </w:pPr>
      <w:r>
        <w:rPr>
          <w:i w:val="false"/>
          <w:iCs w:val="false"/>
        </w:rPr>
        <w:t>Windvoorziening</w:t>
      </w:r>
    </w:p>
    <w:p>
      <w:pPr>
        <w:pStyle w:val="T1"/>
        <w:rPr>
          <w:i w:val="false"/>
          <w:i w:val="false"/>
          <w:iCs w:val="false"/>
        </w:rPr>
      </w:pPr>
      <w:r>
        <w:rPr>
          <w:i w:val="false"/>
          <w:iCs w:val="false"/>
        </w:rPr>
        <w:t>magazijnbalg met twee schepbalgen (1903)</w:t>
      </w:r>
    </w:p>
    <w:p>
      <w:pPr>
        <w:pStyle w:val="T1"/>
        <w:rPr>
          <w:i w:val="false"/>
          <w:i w:val="false"/>
          <w:iCs w:val="false"/>
        </w:rPr>
      </w:pPr>
      <w:r>
        <w:rPr>
          <w:i w:val="false"/>
          <w:iCs w:val="false"/>
        </w:rPr>
        <w:t>Winddruk</w:t>
      </w:r>
    </w:p>
    <w:p>
      <w:pPr>
        <w:pStyle w:val="T1"/>
        <w:rPr>
          <w:i w:val="false"/>
          <w:i w:val="false"/>
          <w:iCs w:val="false"/>
        </w:rPr>
      </w:pPr>
      <w:r>
        <w:rPr>
          <w:i w:val="false"/>
          <w:iCs w:val="false"/>
        </w:rPr>
        <w:t>88 mm</w:t>
      </w:r>
    </w:p>
    <w:p>
      <w:pPr>
        <w:pStyle w:val="T1"/>
        <w:rPr>
          <w:i w:val="false"/>
          <w:i w:val="false"/>
          <w:iCs w:val="false"/>
        </w:rPr>
      </w:pPr>
      <w:r>
        <w:rPr>
          <w:i w:val="false"/>
          <w:iCs w:val="false"/>
        </w:rPr>
      </w:r>
    </w:p>
    <w:p>
      <w:pPr>
        <w:pStyle w:val="T1"/>
        <w:rPr>
          <w:i w:val="false"/>
          <w:i w:val="false"/>
          <w:iCs w:val="false"/>
        </w:rPr>
      </w:pPr>
      <w:r>
        <w:rPr>
          <w:i w:val="false"/>
          <w:iCs w:val="false"/>
        </w:rPr>
        <w:t>Plaats klaviatuur</w:t>
      </w:r>
    </w:p>
    <w:p>
      <w:pPr>
        <w:pStyle w:val="T1"/>
        <w:rPr>
          <w:i w:val="false"/>
          <w:i w:val="false"/>
          <w:iCs w:val="false"/>
        </w:rPr>
      </w:pPr>
      <w:r>
        <w:rPr>
          <w:i w:val="false"/>
          <w:iCs w:val="false"/>
        </w:rPr>
        <w:t>rechterzijde</w:t>
      </w:r>
    </w:p>
    <w:p>
      <w:pPr>
        <w:pStyle w:val="T1"/>
        <w:rPr>
          <w:i w:val="false"/>
          <w:i w:val="false"/>
          <w:iCs w:val="false"/>
        </w:rPr>
      </w:pPr>
      <w:r>
        <w:rPr>
          <w:i w:val="false"/>
          <w:iCs w:val="false"/>
        </w:rPr>
      </w:r>
    </w:p>
    <w:p>
      <w:pPr>
        <w:pStyle w:val="Heading2"/>
        <w:ind w:start="0" w:end="0" w:hanging="0"/>
        <w:rPr>
          <w:i w:val="false"/>
          <w:i w:val="false"/>
        </w:rPr>
      </w:pPr>
      <w:r>
        <w:rPr>
          <w:i w:val="false"/>
        </w:rPr>
        <w:t>Bijzonderheden</w:t>
      </w:r>
    </w:p>
    <w:p>
      <w:pPr>
        <w:pStyle w:val="T1"/>
        <w:rPr>
          <w:i w:val="false"/>
          <w:i w:val="false"/>
          <w:iCs w:val="false"/>
        </w:rPr>
      </w:pPr>
      <w:r>
        <w:rPr>
          <w:i w:val="false"/>
          <w:iCs w:val="false"/>
        </w:rPr>
      </w:r>
    </w:p>
    <w:p>
      <w:pPr>
        <w:pStyle w:val="T1"/>
        <w:rPr>
          <w:i w:val="false"/>
          <w:i w:val="false"/>
          <w:iCs w:val="false"/>
        </w:rPr>
      </w:pPr>
      <w:r>
        <w:rPr>
          <w:i w:val="false"/>
          <w:iCs w:val="false"/>
        </w:rPr>
        <w:t>Het instrument werd vervaardigd door de firma C.B. Adema &amp; Zonen te Leeuwarden, maar aan Borssele geleverd door muziekhandel J.M.W. Stoker te Hilversum.</w:t>
      </w:r>
    </w:p>
    <w:p>
      <w:pPr>
        <w:pStyle w:val="T1"/>
        <w:rPr>
          <w:i w:val="false"/>
          <w:i w:val="false"/>
          <w:iCs w:val="false"/>
        </w:rPr>
      </w:pPr>
      <w:r>
        <w:rPr>
          <w:i w:val="false"/>
          <w:iCs w:val="false"/>
        </w:rPr>
        <w:t>De orgelkas is gemaakt van vurenhout.</w:t>
      </w:r>
    </w:p>
    <w:p>
      <w:pPr>
        <w:pStyle w:val="T1"/>
        <w:rPr>
          <w:i w:val="false"/>
          <w:i w:val="false"/>
          <w:iCs w:val="false"/>
        </w:rPr>
      </w:pPr>
      <w:r>
        <w:rPr>
          <w:i w:val="false"/>
          <w:iCs w:val="false"/>
        </w:rPr>
        <w:t>In de onderkas ligt een magazijnbalg met in- en uitspringende vouw met twee schepbalgen.</w:t>
      </w:r>
    </w:p>
    <w:p>
      <w:pPr>
        <w:pStyle w:val="T1"/>
        <w:rPr>
          <w:i w:val="false"/>
          <w:i w:val="false"/>
          <w:iCs w:val="false"/>
        </w:rPr>
      </w:pPr>
      <w:r>
        <w:rPr>
          <w:i w:val="false"/>
          <w:iCs w:val="false"/>
        </w:rPr>
        <w:t>Het handklavier heeft rechthoekige geverfde eiken bakstukken. De registerknoppen zijn in een horizontale rij boven de lessenaarbak geplaatst. De gedraaide zwartgeverfde knoppen hebben porseleinen schildjes met een gouden randje, waarbinnen de registernamen staan in losse drukletters (kapitelen en cursief). De vierkante trekstokken lopen door een eiken lijst en zijn door middel van staande ijzeren balansen met de slepen verbonden. Het walsraam is van eiken, de walsen zijn van grenen met ijzeren armpjes. Het pedaalwalsbord is op vergelijkbare wijze uitgevoerd.</w:t>
      </w:r>
    </w:p>
    <w:p>
      <w:pPr>
        <w:pStyle w:val="T1"/>
        <w:rPr>
          <w:i w:val="false"/>
          <w:i w:val="false"/>
          <w:iCs w:val="false"/>
        </w:rPr>
      </w:pPr>
      <w:r>
        <w:rPr>
          <w:i w:val="false"/>
          <w:iCs w:val="false"/>
        </w:rPr>
        <w:t>De windlade is van eiken, de stokken zijn van mahonie. Het pijpwerk is opgesteld in hele tonen vanuit het midden naar weerszijden aflopend. De C-kant bevindt zich aan de linkerzijde.</w:t>
      </w:r>
    </w:p>
    <w:p>
      <w:pPr>
        <w:pStyle w:val="T1"/>
        <w:rPr/>
      </w:pPr>
      <w:r>
        <w:rPr>
          <w:i w:val="false"/>
          <w:iCs w:val="false"/>
        </w:rPr>
        <w:t>De Prestant 8' is van C-G gecombineerd met de Holpijp, Gis-cis</w:t>
      </w:r>
      <w:r>
        <w:rPr>
          <w:i w:val="false"/>
          <w:iCs w:val="false"/>
          <w:vertAlign w:val="superscript"/>
        </w:rPr>
        <w:t>1</w:t>
      </w:r>
      <w:r>
        <w:rPr>
          <w:i w:val="false"/>
          <w:iCs w:val="false"/>
        </w:rPr>
        <w:t xml:space="preserve"> staan in het front, het vervolg staat op de lade. Alle pijpen met expressions. De Holpijp 8' heeft van C-G houten pijpen (gedekt, achtkantige taps toelopende handvatten, behalve Dis: fabriekshandvat), Gis-f</w:t>
      </w:r>
      <w:r>
        <w:rPr>
          <w:i w:val="false"/>
          <w:iCs w:val="false"/>
          <w:vertAlign w:val="superscript"/>
        </w:rPr>
        <w:t>3</w:t>
      </w:r>
      <w:r>
        <w:rPr>
          <w:i w:val="false"/>
          <w:iCs w:val="false"/>
        </w:rPr>
        <w:t xml:space="preserve"> zijn van metaal, gedekt met zijbaarden. De Prestant 4' staat op twee stokken en is van C-f</w:t>
      </w:r>
      <w:r>
        <w:rPr>
          <w:i w:val="false"/>
          <w:iCs w:val="false"/>
          <w:vertAlign w:val="superscript"/>
        </w:rPr>
        <w:t>2</w:t>
      </w:r>
      <w:r>
        <w:rPr>
          <w:i w:val="false"/>
          <w:iCs w:val="false"/>
        </w:rPr>
        <w:t xml:space="preserve"> voorzien van expressions; het vervolg is op lengte afgesneden. De Quint 3' en de Octaaf 2' hebben dezelfde factuur en zijn van C-b</w:t>
      </w:r>
      <w:r>
        <w:rPr>
          <w:i w:val="false"/>
          <w:iCs w:val="false"/>
          <w:vertAlign w:val="superscript"/>
        </w:rPr>
        <w:t>1</w:t>
      </w:r>
      <w:r>
        <w:rPr>
          <w:i w:val="false"/>
          <w:iCs w:val="false"/>
        </w:rPr>
        <w:t xml:space="preserve"> respectievelijk C-f</w:t>
      </w:r>
      <w:r>
        <w:rPr>
          <w:i w:val="false"/>
          <w:iCs w:val="false"/>
          <w:vertAlign w:val="superscript"/>
        </w:rPr>
        <w:t>1</w:t>
      </w:r>
      <w:r>
        <w:rPr>
          <w:i w:val="false"/>
          <w:iCs w:val="false"/>
        </w:rPr>
        <w:t xml:space="preserve"> voorzien van expressions; het vervolg van beide registers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character" w:styleId="StrongEmphasis">
    <w:name w:val="Strong Emphasis"/>
    <w:basedOn w:val="Standaardalinealettertype"/>
    <w:qFormat/>
    <w:rPr>
      <w:b/>
      <w:bCs/>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rPr>
      <w:rFonts w:ascii="Times New Roman" w:hAnsi="Times New Roman" w:cs="Times New Roman"/>
      <w:i/>
      <w:iCs/>
      <w:spacing w:val="-3"/>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2009-08-02T19:55:00Z</dcterms:created>
  <dc:creator>WS1</dc:creator>
  <dc:description/>
  <dc:language>en-US</dc:language>
  <cp:lastModifiedBy>Hans</cp:lastModifiedBy>
  <dcterms:modified xsi:type="dcterms:W3CDTF">2009-08-02T19:55:00Z</dcterms:modified>
  <cp:revision>2</cp:revision>
  <dc:subject/>
  <dc:title>Niekerk (Hunsingo) / 1883</dc:title>
</cp:coreProperties>
</file>