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Capelle aan den IJssel / 1904</w:t>
      </w:r>
    </w:p>
    <w:p>
      <w:pPr>
        <w:pStyle w:val="Heading2"/>
        <w:rPr>
          <w:i w:val="false"/>
          <w:i w:val="false"/>
          <w:iCs/>
        </w:rPr>
      </w:pPr>
      <w:r>
        <w:rPr>
          <w:i w:val="false"/>
          <w:iCs/>
        </w:rPr>
        <w:t>Hervormde Kerk (Dorpskerk)</w:t>
      </w:r>
    </w:p>
    <w:p>
      <w:pPr>
        <w:pStyle w:val="T1"/>
        <w:jc w:val="start"/>
        <w:rPr>
          <w:i/>
          <w:i/>
          <w:iCs/>
          <w:lang w:val="nl-NL"/>
        </w:rPr>
      </w:pPr>
      <w:r>
        <w:rPr>
          <w:i/>
          <w:iCs/>
          <w:lang w:val="nl-NL"/>
        </w:rPr>
      </w:r>
    </w:p>
    <w:p>
      <w:pPr>
        <w:pStyle w:val="T1"/>
        <w:jc w:val="start"/>
        <w:rPr>
          <w:i/>
          <w:i/>
          <w:iCs/>
          <w:lang w:val="nl-NL"/>
        </w:rPr>
      </w:pPr>
      <w:r>
        <w:rPr>
          <w:i/>
          <w:iCs/>
          <w:lang w:val="nl-NL"/>
        </w:rPr>
        <w:t>Eenbeukige kerk met vijfzijdig gesloten koor. De kerk stamt uit de vroege 15e eeuw, werd in 1574 verwoest en in 1592 herbouwd. Het koor werd hersteld in 1665. De toren, bestaande uit twee geledingen en bekroond door een ingesnoerde spits, kwam in 1805 tot stand. De 19e-eeuwse gestucte interieuruitmonstering werd bij de kerkrestauratie van 1961 verwijderd.</w:t>
      </w:r>
    </w:p>
    <w:p>
      <w:pPr>
        <w:pStyle w:val="T1"/>
        <w:jc w:val="start"/>
        <w:rPr>
          <w:i/>
          <w:i/>
          <w:iCs/>
          <w:lang w:val="nl-NL"/>
        </w:rPr>
      </w:pPr>
      <w:r>
        <w:rPr>
          <w:i/>
          <w:iCs/>
          <w:lang w:val="nl-NL"/>
        </w:rPr>
        <w:t>Tot de inventaris behoren een kansel uit de 17e eeuw, afkomstig uit de kerk van ’s-Heerjansland en een tiengebodenbord uit 1650.</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betreft hier de jongste nog bestaande toepassing van het Van Dam-frontontwerp waarvan de oorsprong teruggaat tot het jaar 1864 (het laatste exemplaar uit deze reeks, in de Gereformeerde Kerk te Franeker, opgeleverd in 1905, ging door modernisering verloren). Hoewel de hoofdvorm van het ontwerp altijd intact bleef gedurende de 40 jaren van de toepassing, werden vele details aan actuele stijlopvattingen aangepast. Op deze wijze ontstonden varianten die op hun beurt ook weer enkele malen gebruikt werden. Zo kent het front van Capelle veel overeenkomsten met het front van Nieuw-Amsterdam uit 1902, elders in dit deel beschreven.</w:t>
      </w:r>
    </w:p>
    <w:p>
      <w:pPr>
        <w:pStyle w:val="T2Kunst"/>
        <w:jc w:val="start"/>
        <w:rPr>
          <w:lang w:val="nl-NL"/>
        </w:rPr>
      </w:pPr>
      <w:r>
        <w:rPr>
          <w:lang w:val="nl-NL"/>
        </w:rPr>
        <w:t>Hoofdkenmerken zijn hier de hol gewelfde uitvoering van de smalle gedeelde velden naast de middentoren en de vlakke uitvoering van de verhoogd geplaatste ongedeelde velden. Ook de paneelvormige afsluiting van de ongedeelde velden en de knopvormige ornamenten op de bovenlijst hiervan behoren tot de stijlkenmerken van deze periode. De kussenpaneeltjes onder de ongedeelde velden gaan daarentegen op een oudere traditie binnen dit ontwerp terug.</w:t>
      </w:r>
    </w:p>
    <w:p>
      <w:pPr>
        <w:pStyle w:val="T2Kunst"/>
        <w:jc w:val="start"/>
        <w:rPr>
          <w:lang w:val="nl-NL"/>
        </w:rPr>
      </w:pPr>
      <w:r>
        <w:rPr>
          <w:lang w:val="nl-NL"/>
        </w:rPr>
        <w:t>Oorspronkelijk waren ook de buitenste paneeltjes van de onderbouw, onder de vleugelstukken dus, op deze wijze, met drie kussentjes, uitgevoerd. Dat element is gesneuveld in het kader van de werkzaamheden van 1961.</w:t>
      </w:r>
    </w:p>
    <w:p>
      <w:pPr>
        <w:pStyle w:val="T2Kunst"/>
        <w:jc w:val="start"/>
        <w:rPr>
          <w:lang w:val="nl-NL"/>
        </w:rPr>
      </w:pPr>
      <w:r>
        <w:rPr>
          <w:lang w:val="nl-NL"/>
        </w:rPr>
        <w:t>Er is echter ook een substantieel verschil met de versie van Nieuw-Amsterdam. Bij dat front, gemaakt voor een eenklaviers orgel, staan in de torens steeds vijf pijpen, overeenkomstig de vaste patronen in het werk van de orgelmakers Van Dam. In Capelle wordt daarvan afgeweken door de torens van elk zeven pijpen te voorzien. Het front heeft hierdoor een grotere breedte gekregen, welke benut werd voor de plaatsing van een pedaallade, dwars in de kas tegen de linker zijwand.</w:t>
      </w:r>
    </w:p>
    <w:p>
      <w:pPr>
        <w:pStyle w:val="T2Kunst"/>
        <w:jc w:val="start"/>
        <w:rPr/>
      </w:pPr>
      <w:r>
        <w:rPr>
          <w:lang w:val="nl-NL"/>
        </w:rPr>
        <w:t xml:space="preserve">Bij de blinderingen en de </w:t>
      </w:r>
      <w:r>
        <w:rPr>
          <w:i/>
          <w:iCs/>
          <w:lang w:val="nl-NL"/>
        </w:rPr>
        <w:t>culs-de-lampe</w:t>
      </w:r>
      <w:r>
        <w:rPr>
          <w:lang w:val="nl-NL"/>
        </w:rPr>
        <w:t xml:space="preserve"> is uitsluitend het op 18e-eeuwse barokke ontwerpen geïnspireerd ornament te bewonderen: voluutvormen, plantaardige motieven, ruitwerk. In het opzetstuk op de middentoren zijn de symbolen van Geloof, Hoop en Liefde verwerkt.</w:t>
      </w:r>
    </w:p>
    <w:p>
      <w:pPr>
        <w:pStyle w:val="T2Kunst"/>
        <w:jc w:val="start"/>
        <w:rPr>
          <w:lang w:val="nl-NL"/>
        </w:rPr>
      </w:pPr>
      <w:r>
        <w:rPr>
          <w:lang w:val="nl-NL"/>
        </w:rPr>
        <w:t>De vormgeving van het hoofdgestel van de orgelgalerij, met de daaronder geplaatste kolommen, dateert in hoofdzaak uit 1961. In de oorspronkelijke situatie stonden er slechts twee zuilen onder het orgel.</w:t>
      </w:r>
    </w:p>
    <w:p>
      <w:pPr>
        <w:pStyle w:val="T1"/>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Bart van Buitenen, ‘ Van Dam-orgel Capelle’. </w:t>
      </w:r>
      <w:r>
        <w:rPr>
          <w:i/>
          <w:lang w:val="nl-NL"/>
        </w:rPr>
        <w:t>De Orgelvriend</w:t>
      </w:r>
      <w:r>
        <w:rPr>
          <w:iCs/>
          <w:lang w:val="nl-NL"/>
        </w:rPr>
        <w:t>, 42/9 (2000), 24-26.</w:t>
      </w:r>
    </w:p>
    <w:p>
      <w:pPr>
        <w:pStyle w:val="T3Lit"/>
        <w:jc w:val="start"/>
        <w:rPr/>
      </w:pPr>
      <w:r>
        <w:rPr>
          <w:i/>
          <w:lang w:val="nl-NL"/>
        </w:rPr>
        <w:t>Kerkelijke Courant</w:t>
      </w:r>
      <w:r>
        <w:rPr>
          <w:iCs/>
          <w:lang w:val="nl-NL"/>
        </w:rPr>
        <w:t>, 58/31 (1904).</w:t>
      </w:r>
    </w:p>
    <w:p>
      <w:pPr>
        <w:pStyle w:val="T3Lit"/>
        <w:jc w:val="start"/>
        <w:rPr/>
      </w:pPr>
      <w:r>
        <w:rPr>
          <w:i/>
          <w:lang w:val="nl-NL"/>
        </w:rPr>
        <w:t>Het Orgel</w:t>
      </w:r>
      <w:r>
        <w:rPr>
          <w:lang w:val="nl-NL"/>
        </w:rPr>
        <w:t>, 70/12 (1974), 428.</w:t>
      </w:r>
    </w:p>
    <w:p>
      <w:pPr>
        <w:pStyle w:val="T3Lit"/>
        <w:jc w:val="start"/>
        <w:rPr/>
      </w:pPr>
      <w:r>
        <w:rPr>
          <w:i/>
          <w:lang w:val="nl-NL"/>
        </w:rPr>
        <w:t>De Orgelvriend</w:t>
      </w:r>
      <w:r>
        <w:rPr>
          <w:lang w:val="nl-NL"/>
        </w:rPr>
        <w:t>, 20/7-8 (1978), 34.</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fr-FR"/>
        </w:rPr>
        <w:t xml:space="preserve">A. Bouman, </w:t>
      </w:r>
      <w:r>
        <w:rPr>
          <w:i/>
          <w:iCs/>
          <w:lang w:val="fr-FR"/>
        </w:rPr>
        <w:t>Dispositiecahier V.</w:t>
      </w:r>
    </w:p>
    <w:p>
      <w:pPr>
        <w:pStyle w:val="T3Lit"/>
        <w:jc w:val="start"/>
        <w:rPr/>
      </w:pPr>
      <w:r>
        <w:rPr>
          <w:lang w:val="nl-NL"/>
        </w:rPr>
        <w:t xml:space="preserve">J. Jongepier, </w:t>
      </w:r>
      <w:r>
        <w:rPr>
          <w:i/>
          <w:iCs/>
          <w:lang w:val="nl-NL"/>
        </w:rPr>
        <w:t>Rapport betreffende het orgel in de Ned. Herv. Kerk te Capelle aan den IJssel</w:t>
      </w:r>
      <w:r>
        <w:rPr>
          <w:lang w:val="nl-NL"/>
        </w:rPr>
        <w:t>. Purmerend, 1974.</w:t>
      </w:r>
    </w:p>
    <w:p>
      <w:pPr>
        <w:pStyle w:val="T3Lit"/>
        <w:jc w:val="start"/>
        <w:rPr>
          <w:lang w:val="nl-NL"/>
        </w:rPr>
      </w:pPr>
      <w:r>
        <w:rPr>
          <w:lang w:val="nl-NL"/>
        </w:rPr>
      </w:r>
    </w:p>
    <w:p>
      <w:pPr>
        <w:pStyle w:val="T3Lit"/>
        <w:jc w:val="start"/>
        <w:rPr>
          <w:lang w:val="nl-NL"/>
        </w:rPr>
      </w:pPr>
      <w:r>
        <w:rPr>
          <w:lang w:val="nl-NL"/>
        </w:rPr>
        <w:t>Orgelnummer 1886</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pPr>
      <w:r>
        <w:rPr/>
        <w:t>N.D. Slooff 1961</w:t>
      </w:r>
    </w:p>
    <w:p>
      <w:pPr>
        <w:pStyle w:val="T1"/>
        <w:numPr>
          <w:ilvl w:val="0"/>
          <w:numId w:val="4"/>
        </w:numPr>
        <w:jc w:val="start"/>
        <w:rPr>
          <w:lang w:val="nl-NL"/>
        </w:rPr>
      </w:pPr>
      <w:r>
        <w:rPr>
          <w:lang w:val="nl-NL"/>
        </w:rPr>
        <w:t>orgel gewijzigd en naar achteren verplaatst</w:t>
      </w:r>
    </w:p>
    <w:p>
      <w:pPr>
        <w:pStyle w:val="T1"/>
        <w:numPr>
          <w:ilvl w:val="0"/>
          <w:numId w:val="4"/>
        </w:numPr>
        <w:jc w:val="start"/>
        <w:rPr>
          <w:lang w:val="nl-NL"/>
        </w:rPr>
      </w:pPr>
      <w:r>
        <w:rPr>
          <w:lang w:val="nl-NL"/>
        </w:rPr>
        <w:t>orgelkas opnieuw geschilderd</w:t>
      </w:r>
    </w:p>
    <w:p>
      <w:pPr>
        <w:pStyle w:val="T1"/>
        <w:numPr>
          <w:ilvl w:val="0"/>
          <w:numId w:val="4"/>
        </w:numPr>
        <w:jc w:val="start"/>
        <w:rPr>
          <w:lang w:val="nl-NL"/>
        </w:rPr>
      </w:pPr>
      <w:r>
        <w:rPr>
          <w:lang w:val="nl-NL"/>
        </w:rPr>
        <w:t>dispositiewijzigingen:</w:t>
      </w:r>
    </w:p>
    <w:p>
      <w:pPr>
        <w:pStyle w:val="T1"/>
        <w:ind w:start="708" w:hanging="0"/>
        <w:jc w:val="start"/>
        <w:rPr>
          <w:lang w:val="fr-FR"/>
        </w:rPr>
      </w:pPr>
      <w:r>
        <w:rPr>
          <w:lang w:val="fr-FR"/>
        </w:rPr>
        <w:t>HW- Violoncel 8', + Quint 3' (uit Salicet 4' BW)</w:t>
      </w:r>
    </w:p>
    <w:p>
      <w:pPr>
        <w:pStyle w:val="T1"/>
        <w:ind w:start="708" w:hanging="0"/>
        <w:jc w:val="start"/>
        <w:rPr>
          <w:lang w:val="nl-NL"/>
        </w:rPr>
      </w:pPr>
      <w:r>
        <w:rPr>
          <w:lang w:val="nl-NL"/>
        </w:rPr>
        <w:t>BW - Salicionaal 8', - Salicet 4', + Prestant 4' (uit Violoncel 8' HW), + Nasard 2 2/3', + Sexquialter D 2 st. op kantsleep</w:t>
      </w:r>
    </w:p>
    <w:p>
      <w:pPr>
        <w:pStyle w:val="T1"/>
        <w:ind w:start="708" w:hanging="0"/>
        <w:jc w:val="start"/>
        <w:rPr>
          <w:lang w:val="nl-NL"/>
        </w:rPr>
      </w:pPr>
      <w:r>
        <w:rPr>
          <w:lang w:val="nl-NL"/>
        </w:rPr>
        <w:t>Ped + Octaafbas 8' op gereserveerde sleep</w:t>
      </w:r>
    </w:p>
    <w:p>
      <w:pPr>
        <w:pStyle w:val="T1"/>
        <w:jc w:val="start"/>
        <w:rPr>
          <w:lang w:val="nl-NL"/>
        </w:rPr>
      </w:pPr>
      <w:r>
        <w:rPr>
          <w:lang w:val="nl-NL"/>
        </w:rPr>
      </w:r>
    </w:p>
    <w:p>
      <w:pPr>
        <w:pStyle w:val="T1"/>
        <w:jc w:val="start"/>
        <w:rPr/>
      </w:pPr>
      <w:r>
        <w:rPr/>
        <w:t>N.D. Slooff 1977</w:t>
      </w:r>
    </w:p>
    <w:p>
      <w:pPr>
        <w:pStyle w:val="T1"/>
        <w:numPr>
          <w:ilvl w:val="0"/>
          <w:numId w:val="5"/>
        </w:numPr>
        <w:jc w:val="start"/>
        <w:rPr>
          <w:lang w:val="nl-NL"/>
        </w:rPr>
      </w:pPr>
      <w:r>
        <w:rPr>
          <w:lang w:val="nl-NL"/>
        </w:rPr>
        <w:t>restauratie</w:t>
      </w:r>
    </w:p>
    <w:p>
      <w:pPr>
        <w:pStyle w:val="T1"/>
        <w:numPr>
          <w:ilvl w:val="0"/>
          <w:numId w:val="5"/>
        </w:numPr>
        <w:jc w:val="start"/>
        <w:rPr>
          <w:lang w:val="nl-NL"/>
        </w:rPr>
      </w:pPr>
      <w:r>
        <w:rPr>
          <w:lang w:val="nl-NL"/>
        </w:rPr>
        <w:t>details pedaalklavier gereconstrueerd</w:t>
      </w:r>
    </w:p>
    <w:p>
      <w:pPr>
        <w:pStyle w:val="T1"/>
        <w:numPr>
          <w:ilvl w:val="0"/>
          <w:numId w:val="5"/>
        </w:numPr>
        <w:jc w:val="start"/>
        <w:rPr>
          <w:lang w:val="nl-NL"/>
        </w:rPr>
      </w:pPr>
      <w:r>
        <w:rPr>
          <w:lang w:val="nl-NL"/>
        </w:rPr>
        <w:t>windladen van hechthout platen voorzien, kantsleep boven ventielkast BW-lade verwijderd, laden HW en BW van kantsleep aan frontzijde voorzien, lade Ped voorzien van kantsleep voor Subbas 16'</w:t>
      </w:r>
    </w:p>
    <w:p>
      <w:pPr>
        <w:pStyle w:val="T1"/>
        <w:numPr>
          <w:ilvl w:val="0"/>
          <w:numId w:val="5"/>
        </w:numPr>
        <w:jc w:val="start"/>
        <w:rPr>
          <w:lang w:val="nl-NL"/>
        </w:rPr>
      </w:pPr>
      <w:r>
        <w:rPr>
          <w:lang w:val="nl-NL"/>
        </w:rPr>
        <w:t>registervolgorde BW-lade gewijzigd</w:t>
      </w:r>
    </w:p>
    <w:p>
      <w:pPr>
        <w:pStyle w:val="T1"/>
        <w:numPr>
          <w:ilvl w:val="0"/>
          <w:numId w:val="5"/>
        </w:numPr>
        <w:jc w:val="start"/>
        <w:rPr>
          <w:lang w:val="nl-NL"/>
        </w:rPr>
      </w:pPr>
      <w:r>
        <w:rPr>
          <w:lang w:val="nl-NL"/>
        </w:rPr>
        <w:t>dispositiewijzigingen:</w:t>
      </w:r>
    </w:p>
    <w:p>
      <w:pPr>
        <w:pStyle w:val="T1"/>
        <w:ind w:start="708" w:hanging="0"/>
        <w:jc w:val="start"/>
        <w:rPr>
          <w:lang w:val="nl-NL"/>
        </w:rPr>
      </w:pPr>
      <w:r>
        <w:rPr>
          <w:lang w:val="nl-NL"/>
        </w:rPr>
        <w:t>HW Prestant 8' op kantsleep geplaatst, + Violoncel 8' (uit Prestant 4' BW), - Quint 3', + Prestantquint 3'</w:t>
      </w:r>
    </w:p>
    <w:p>
      <w:pPr>
        <w:pStyle w:val="T1"/>
        <w:ind w:start="708" w:hanging="0"/>
        <w:jc w:val="start"/>
        <w:rPr>
          <w:lang w:val="nl-NL"/>
        </w:rPr>
      </w:pPr>
      <w:r>
        <w:rPr>
          <w:lang w:val="nl-NL"/>
        </w:rPr>
        <w:t>BW - Prestant 4', - Flûte Harmonique 4', - Nasard 2 2/3', - Sexquialter D 2 st., + Salicionaal 8' (op kantsleep), + Salicet 4' (uit Quint 3' HW), + Flûte Travers 4' + Quintfluit 3'</w:t>
      </w:r>
    </w:p>
    <w:p>
      <w:pPr>
        <w:pStyle w:val="T1"/>
        <w:ind w:start="708" w:hanging="0"/>
        <w:jc w:val="start"/>
        <w:rPr>
          <w:lang w:val="nl-NL"/>
        </w:rPr>
      </w:pPr>
      <w:r>
        <w:rPr>
          <w:lang w:val="nl-NL"/>
        </w:rPr>
        <w:t>Ped + Basson 16'</w:t>
      </w:r>
    </w:p>
    <w:p>
      <w:pPr>
        <w:pStyle w:val="T1"/>
        <w:jc w:val="start"/>
        <w:rPr>
          <w:lang w:val="nl-NL"/>
        </w:rPr>
      </w:pPr>
      <w:r>
        <w:rPr>
          <w:lang w:val="nl-NL"/>
        </w:rPr>
      </w:r>
    </w:p>
    <w:p>
      <w:pPr>
        <w:pStyle w:val="T1"/>
        <w:jc w:val="start"/>
        <w:rPr>
          <w:lang w:val="nl-NL"/>
        </w:rPr>
      </w:pPr>
      <w:r>
        <w:rPr>
          <w:lang w:val="nl-NL"/>
        </w:rPr>
        <w:t>Pels &amp; Van Leeuwen 1988</w:t>
      </w:r>
    </w:p>
    <w:p>
      <w:pPr>
        <w:pStyle w:val="T1"/>
        <w:numPr>
          <w:ilvl w:val="0"/>
          <w:numId w:val="3"/>
        </w:numPr>
        <w:jc w:val="start"/>
        <w:rPr>
          <w:lang w:val="nl-NL"/>
        </w:rPr>
      </w:pPr>
      <w:r>
        <w:rPr>
          <w:lang w:val="nl-NL"/>
        </w:rPr>
        <w:t>mechanieken gereviseerd</w:t>
      </w:r>
    </w:p>
    <w:p>
      <w:pPr>
        <w:pStyle w:val="T1"/>
        <w:numPr>
          <w:ilvl w:val="0"/>
          <w:numId w:val="3"/>
        </w:numPr>
        <w:jc w:val="start"/>
        <w:rPr>
          <w:lang w:val="nl-NL"/>
        </w:rPr>
      </w:pPr>
      <w:r>
        <w:rPr>
          <w:lang w:val="nl-NL"/>
        </w:rPr>
        <w:t>+ koppel Ped-BW</w:t>
      </w:r>
    </w:p>
    <w:p>
      <w:pPr>
        <w:pStyle w:val="T1"/>
        <w:jc w:val="start"/>
        <w:rPr>
          <w:lang w:val="nl-NL"/>
        </w:rPr>
      </w:pPr>
      <w:r>
        <w:rPr>
          <w:lang w:val="nl-NL"/>
        </w:rPr>
      </w:r>
    </w:p>
    <w:p>
      <w:pPr>
        <w:pStyle w:val="T1"/>
        <w:jc w:val="start"/>
        <w:rPr>
          <w:lang w:val="nl-NL"/>
        </w:rPr>
      </w:pPr>
      <w:r>
        <w:rPr>
          <w:lang w:val="nl-NL"/>
        </w:rPr>
        <w:t>H.B. Scheuerman 1999</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BW in zwelkast geplaatst</w:t>
      </w:r>
    </w:p>
    <w:p>
      <w:pPr>
        <w:pStyle w:val="T1"/>
        <w:numPr>
          <w:ilvl w:val="0"/>
          <w:numId w:val="2"/>
        </w:numPr>
        <w:jc w:val="start"/>
        <w:rPr>
          <w:lang w:val="nl-NL"/>
        </w:rPr>
      </w:pPr>
      <w:r>
        <w:rPr>
          <w:lang w:val="nl-NL"/>
        </w:rPr>
        <w:t>+ tremulant HW</w:t>
      </w:r>
    </w:p>
    <w:p>
      <w:pPr>
        <w:pStyle w:val="T1"/>
        <w:numPr>
          <w:ilvl w:val="0"/>
          <w:numId w:val="2"/>
        </w:numPr>
        <w:jc w:val="start"/>
        <w:rPr>
          <w:lang w:val="nl-NL"/>
        </w:rPr>
      </w:pPr>
      <w:r>
        <w:rPr>
          <w:lang w:val="nl-NL"/>
        </w:rPr>
        <w:t>dispositiewijzigingen:</w:t>
      </w:r>
    </w:p>
    <w:p>
      <w:pPr>
        <w:pStyle w:val="T1"/>
        <w:ind w:start="708" w:hanging="0"/>
        <w:jc w:val="start"/>
        <w:rPr/>
      </w:pPr>
      <w:r>
        <w:rPr/>
        <w:t>HW Mixtuur 2-3 st. </w:t>
      </w:r>
      <w:r>
        <w:rPr>
          <w:lang w:val="nl-NL"/>
        </w:rPr>
        <w:t>$ 3-4 st.; Cornet uitgebreid met tonen a-h</w:t>
      </w:r>
    </w:p>
    <w:p>
      <w:pPr>
        <w:pStyle w:val="T1"/>
        <w:ind w:start="708" w:hanging="0"/>
        <w:jc w:val="start"/>
        <w:rPr>
          <w:lang w:val="nl-NL"/>
        </w:rPr>
      </w:pPr>
      <w:r>
        <w:rPr>
          <w:lang w:val="nl-NL"/>
        </w:rPr>
        <w:t>BW Viola di Gamba 8' $ Vox Celeste 8' 1-2 st., + Clarinet 8'; Fugara 2' op kantsleep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830" w:type="dxa"/>
        <w:jc w:val="start"/>
        <w:tblInd w:w="-70" w:type="dxa"/>
        <w:tblLayout w:type="fixed"/>
        <w:tblCellMar>
          <w:top w:w="0" w:type="dxa"/>
          <w:start w:w="70" w:type="dxa"/>
          <w:bottom w:w="0" w:type="dxa"/>
          <w:end w:w="70" w:type="dxa"/>
        </w:tblCellMar>
      </w:tblPr>
      <w:tblGrid>
        <w:gridCol w:w="1330"/>
        <w:gridCol w:w="720"/>
        <w:gridCol w:w="162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fr-FR"/>
              </w:rPr>
            </w:pPr>
            <w:r>
              <w:rPr>
                <w:lang w:val="fr-FR"/>
              </w:rPr>
              <w:t>11 stemmen</w:t>
            </w:r>
          </w:p>
          <w:p>
            <w:pPr>
              <w:pStyle w:val="T4dispositie"/>
              <w:rPr>
                <w:lang w:val="fr-FR"/>
              </w:rPr>
            </w:pPr>
            <w:r>
              <w:rPr>
                <w:lang w:val="fr-F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Holpijp</w:t>
            </w:r>
          </w:p>
          <w:p>
            <w:pPr>
              <w:pStyle w:val="T4dispositie"/>
              <w:rPr>
                <w:lang w:val="fr-FR"/>
              </w:rPr>
            </w:pPr>
            <w:r>
              <w:rPr>
                <w:lang w:val="fr-FR"/>
              </w:rPr>
              <w:t>Violoncel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Mixtuur</w:t>
            </w:r>
          </w:p>
          <w:p>
            <w:pPr>
              <w:pStyle w:val="T4dispositie"/>
              <w:rPr/>
            </w:pPr>
            <w:r>
              <w:rPr/>
              <w:t>Cornet</w:t>
            </w:r>
          </w:p>
          <w:p>
            <w:pPr>
              <w:pStyle w:val="T4dispositie"/>
              <w:rPr/>
            </w:pPr>
            <w:r>
              <w:rPr/>
              <w:t>Trompet B/D</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3-4 st.</w:t>
            </w:r>
          </w:p>
          <w:p>
            <w:pPr>
              <w:pStyle w:val="T4dispositie"/>
              <w:rPr/>
            </w:pPr>
            <w:r>
              <w:rPr/>
              <w:t>3 st.</w:t>
            </w:r>
          </w:p>
          <w:p>
            <w:pPr>
              <w:pStyle w:val="T4dispositie"/>
              <w:rPr/>
            </w:pPr>
            <w:r>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Roerfluit</w:t>
            </w:r>
          </w:p>
          <w:p>
            <w:pPr>
              <w:pStyle w:val="T4dispositie"/>
              <w:rPr>
                <w:lang w:val="fr-FR"/>
              </w:rPr>
            </w:pPr>
            <w:r>
              <w:rPr>
                <w:lang w:val="fr-FR"/>
              </w:rPr>
              <w:t>Salicionaal</w:t>
            </w:r>
          </w:p>
          <w:p>
            <w:pPr>
              <w:pStyle w:val="T4dispositie"/>
              <w:rPr>
                <w:lang w:val="fr-FR"/>
              </w:rPr>
            </w:pPr>
            <w:r>
              <w:rPr>
                <w:lang w:val="fr-FR"/>
              </w:rPr>
              <w:t>Vox Celeste</w:t>
            </w:r>
          </w:p>
          <w:p>
            <w:pPr>
              <w:pStyle w:val="T4dispositie"/>
              <w:rPr>
                <w:lang w:val="fr-FR"/>
              </w:rPr>
            </w:pPr>
            <w:r>
              <w:rPr>
                <w:lang w:val="fr-FR"/>
              </w:rPr>
              <w:t>Salicet</w:t>
            </w:r>
          </w:p>
          <w:p>
            <w:pPr>
              <w:pStyle w:val="T4dispositie"/>
              <w:rPr>
                <w:lang w:val="fr-FR"/>
              </w:rPr>
            </w:pPr>
            <w:r>
              <w:rPr>
                <w:lang w:val="fr-FR"/>
              </w:rPr>
              <w:t>Flûte Travers</w:t>
            </w:r>
          </w:p>
          <w:p>
            <w:pPr>
              <w:pStyle w:val="T4dispositie"/>
              <w:rPr>
                <w:lang w:val="fr-FR"/>
              </w:rPr>
            </w:pPr>
            <w:r>
              <w:rPr>
                <w:lang w:val="fr-FR"/>
              </w:rPr>
              <w:t>Quintfluit</w:t>
            </w:r>
          </w:p>
          <w:p>
            <w:pPr>
              <w:pStyle w:val="T4dispositie"/>
              <w:rPr>
                <w:lang w:val="fr-FR"/>
              </w:rPr>
            </w:pPr>
            <w:r>
              <w:rPr>
                <w:lang w:val="fr-FR"/>
              </w:rPr>
              <w:t>Fugara</w:t>
            </w:r>
          </w:p>
          <w:p>
            <w:pPr>
              <w:pStyle w:val="T4dispositie"/>
              <w:rPr>
                <w:lang w:val="nl-NL"/>
              </w:rPr>
            </w:pPr>
            <w:r>
              <w:rPr>
                <w:lang w:val="nl-NL"/>
              </w:rPr>
              <w:t>Clarinet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i/>
                <w:i/>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Basson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lang w:val="fr-FR"/>
        </w:rPr>
      </w:pPr>
      <w:r>
        <w:rPr>
          <w:rFonts w:cs="Times New Roman" w:ascii="Times New Roman" w:hAnsi="Times New Roman"/>
          <w:szCs w:val="24"/>
          <w:lang w:val="fr-FR"/>
        </w:rPr>
        <w:t>tremblant HW, tremblant BW</w:t>
      </w:r>
    </w:p>
    <w:p>
      <w:pPr>
        <w:pStyle w:val="Normal"/>
        <w:rPr>
          <w:rFonts w:ascii="Times New Roman" w:hAnsi="Times New Roman" w:cs="Times New Roman"/>
          <w:szCs w:val="24"/>
          <w:lang w:val="fr-FR"/>
        </w:rPr>
      </w:pPr>
      <w:r>
        <w:rPr>
          <w:rFonts w:cs="Times New Roman" w:ascii="Times New Roman" w:hAnsi="Times New Roman"/>
          <w:szCs w:val="24"/>
          <w:lang w:val="fr-FR"/>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581" w:type="dxa"/>
        <w:jc w:val="start"/>
        <w:tblInd w:w="-108" w:type="dxa"/>
        <w:tblLayout w:type="fixed"/>
        <w:tblCellMar>
          <w:top w:w="0" w:type="dxa"/>
          <w:start w:w="108" w:type="dxa"/>
          <w:bottom w:w="0" w:type="dxa"/>
          <w:end w:w="108" w:type="dxa"/>
        </w:tblCellMar>
      </w:tblPr>
      <w:tblGrid>
        <w:gridCol w:w="1123"/>
        <w:gridCol w:w="812"/>
        <w:gridCol w:w="823"/>
        <w:gridCol w:w="823"/>
      </w:tblGrid>
      <w:tr>
        <w:trPr/>
        <w:tc>
          <w:tcPr>
            <w:tcW w:w="112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812"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823"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823"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pPr>
            <w:r>
              <w:rPr/>
              <w:t>2 2/3</w:t>
            </w:r>
          </w:p>
          <w:p>
            <w:pPr>
              <w:pStyle w:val="T4dispositie"/>
              <w:rPr/>
            </w:pPr>
            <w:r>
              <w:rPr/>
              <w:t>2</w:t>
            </w:r>
          </w:p>
          <w:p>
            <w:pPr>
              <w:pStyle w:val="T4dispositie"/>
              <w:rPr/>
            </w:pPr>
            <w:r>
              <w:rPr/>
              <w:t>1 1/3</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a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Toonhoogte</w:t>
      </w:r>
    </w:p>
    <w:p>
      <w:pPr>
        <w:pStyle w:val="Normal"/>
        <w:rPr/>
      </w:pPr>
      <w:r>
        <w:rPr>
          <w:rFonts w:cs="Times New Roman" w:ascii="Times New Roman" w:hAnsi="Times New Roman"/>
          <w:szCs w:val="24"/>
          <w:lang w:val="en-US"/>
        </w:rPr>
        <w:t>a</w:t>
      </w:r>
      <w:r>
        <w:rPr>
          <w:rFonts w:cs="Times New Roman" w:ascii="Times New Roman" w:hAnsi="Times New Roman"/>
          <w:szCs w:val="24"/>
          <w:vertAlign w:val="superscript"/>
          <w:lang w:val="en-US"/>
        </w:rPr>
        <w:t>1</w:t>
      </w:r>
      <w:r>
        <w:rPr>
          <w:rFonts w:cs="Times New Roman" w:ascii="Times New Roman" w:hAnsi="Times New Roman"/>
          <w:szCs w:val="24"/>
          <w:lang w:val="en-US"/>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(1904)</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zijn van tin. In het front spreken C-h van de Prestant 8' HW. De zeven pijpen in de rechterzijtoren behoren tot de Salicionaal 8' BW en zijn in 1977 weer aangesloten.</w:t>
      </w:r>
    </w:p>
    <w:p>
      <w:pPr>
        <w:pStyle w:val="T1"/>
        <w:jc w:val="start"/>
        <w:rPr>
          <w:lang w:val="nl-NL"/>
        </w:rPr>
      </w:pPr>
      <w:r>
        <w:rPr>
          <w:lang w:val="nl-NL"/>
        </w:rPr>
        <w:t>De handklavieren zijn eiken staartklavieren. De registerknoppen van de manualen zijn in twee rijen boven de lessenaar aangebracht, de knoppen van het Ped en de werktuiglijke registers aan weerskanten van de lessenaar. Rond de lessenaar zijn eiken registerborden aanwezig.</w:t>
      </w:r>
    </w:p>
    <w:p>
      <w:pPr>
        <w:pStyle w:val="T1"/>
        <w:jc w:val="start"/>
        <w:rPr>
          <w:lang w:val="nl-NL"/>
        </w:rPr>
      </w:pPr>
      <w:r>
        <w:rPr>
          <w:lang w:val="nl-NL"/>
        </w:rPr>
        <w:t>De balg bevindt zich onder in de kas. De windkanalen zijn van eiken.</w:t>
      </w:r>
    </w:p>
    <w:p>
      <w:pPr>
        <w:pStyle w:val="T1"/>
        <w:jc w:val="start"/>
        <w:rPr/>
      </w:pPr>
      <w:r>
        <w:rPr>
          <w:lang w:val="nl-NL"/>
        </w:rPr>
        <w:t>De windladen zijn van eiken met mahonie stokken. De cancelvolgorde van de HW-lade is chromatisch: dis-g</w:t>
      </w:r>
      <w:r>
        <w:rPr>
          <w:vertAlign w:val="superscript"/>
          <w:lang w:val="nl-NL"/>
        </w:rPr>
        <w:t>3</w:t>
      </w:r>
      <w:r>
        <w:rPr>
          <w:lang w:val="nl-NL"/>
        </w:rPr>
        <w:t xml:space="preserve"> d-C. De cancelvolgorde van de BW-lade is in hele tonen, vanuit het midden naar weerszijden aflopend. De cancelvolgorde van de Ped-lade is in octaven.</w:t>
      </w:r>
    </w:p>
    <w:p>
      <w:pPr>
        <w:pStyle w:val="T1"/>
        <w:jc w:val="start"/>
        <w:rPr>
          <w:lang w:val="nl-NL"/>
        </w:rPr>
      </w:pPr>
      <w:r>
        <w:rPr>
          <w:lang w:val="nl-NL"/>
        </w:rPr>
        <w:t>Houten pijpen zijn toegepast bij de Bourdon 16' (c-g) en Holpijp 8' (C-G) HW, de Roerfluit 8' BW (C-G) en de Subbas 16' Ped (alle pijpen). De Bourdon 16' en Violoncel 8' HW beginnen op c. De Roerfluit 4' heeft open cilindrisch pijpwerk voor het hoogste octaaf. De Cornet is op de lade geplaatst. Bij de Mixtuur dateren C-H van het één-voets koor en het 1 1/3-voets koor vanaf c uit 1999. Van de in 1977 op het BW herplaatste Salicionaal 8' was het pijpwerk vanaf 1961 in de werkplaats van de firma Slooff in opslag bewaard. De Viola di Gamba is van C-H gecombineerd met de Salicionaal. Van de oorspronkelijke Fluit Harmoniek 4' zijn C-H door Van Dam vervaardigd en waren de overige pijpen toegeleverd; C-H gedekt, c-h open en de discant overblazend. In 1977 is het pijpwerk van C-H gehandhaafd, terwijl in aansluitende factuur het register van een vervolg in de vorm van een Flûte Travers 4' is voorzien. Het pijpwerk van 1904 vanaf c is toen in de onderkas opgeslagen. De Flûte Travers 4' en Quintfluit 3' zijn gemaakt naar Van Dam-mensuren.</w:t>
      </w:r>
    </w:p>
    <w:p>
      <w:pPr>
        <w:pStyle w:val="T1"/>
        <w:jc w:val="start"/>
        <w:rPr>
          <w:lang w:val="nl-NL"/>
        </w:rPr>
      </w:pPr>
      <w:r>
        <w:rPr>
          <w:lang w:val="nl-NL"/>
        </w:rPr>
        <w:t>De Trompet 8' bestaat uit toegeleverd pijpwerk met metalen stevels, loden koppen en metalen bekers. De Basson 16' is gemaakt naar Van Dam-mensuren, de stevels en koppen, van Cuba-mahonie, werden in de werkplaats van de restaurateur gemaakt.</w:t>
      </w:r>
    </w:p>
    <w:p>
      <w:pPr>
        <w:pStyle w:val="T1"/>
        <w:jc w:val="start"/>
        <w:rPr>
          <w:lang w:val="nl-NL"/>
        </w:rPr>
      </w:pPr>
      <w:r>
        <w:rPr>
          <w:lang w:val="nl-NL"/>
        </w:rPr>
        <w:t>Het labiaalpijpwerk van 1904 is voor een deel uit de Van Dam-werkplaats afkomstig. Toegeleverd pijpwerk met geperste labia wordt aangetroffen in de Violoncel 8' en Mixtuur HW en Viola di Gamba 8' BW. Expressions zijn toegepast bij alle binnenpijpen van Prestant 8', Violoncel 8', Salicionaal 8' en Viola di Gamba 8' alsmede bij de Octaaf 4' (C-h), de Prestantquint 3' (C-e), de Octaaf 2' (C-H) en bij een deel van de Salicet 4'. Bij de open pijpen van Flûte Travers 4', Quintfluit 3' en Fugara 2' BW zijn in enkele grotere pijpen stemkrullen aangebracht. De pijpen van de Octaafbas 8' Ped zijn allemaal voorzien van een stemkrul.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2008-02-28T10:49:00Z</dcterms:created>
  <dc:creator>WS1</dc:creator>
  <dc:description/>
  <dc:language>en-US</dc:language>
  <cp:lastModifiedBy>NIvO</cp:lastModifiedBy>
  <dcterms:modified xsi:type="dcterms:W3CDTF">2009-10-27T09:17:00Z</dcterms:modified>
  <cp:revision>17</cp:revision>
  <dc:subject/>
  <dc:title>Olst / 1880</dc:title>
</cp:coreProperties>
</file>