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Delft / 1910</w:t>
      </w:r>
    </w:p>
    <w:p>
      <w:pPr>
        <w:pStyle w:val="Heading2"/>
        <w:rPr>
          <w:i w:val="false"/>
          <w:i w:val="false"/>
          <w:iCs/>
        </w:rPr>
      </w:pPr>
      <w:r>
        <w:rPr>
          <w:i w:val="false"/>
          <w:iCs/>
        </w:rPr>
        <w:t>Vierhovenkerk</w:t>
      </w:r>
    </w:p>
    <w:p>
      <w:pPr>
        <w:pStyle w:val="T1"/>
        <w:jc w:val="start"/>
        <w:rPr>
          <w:i/>
          <w:i/>
          <w:iCs/>
          <w:lang w:val="nl-NL"/>
        </w:rPr>
      </w:pPr>
      <w:r>
        <w:rPr>
          <w:i/>
          <w:iCs/>
          <w:lang w:val="nl-NL"/>
        </w:rPr>
      </w:r>
    </w:p>
    <w:p>
      <w:pPr>
        <w:pStyle w:val="T1"/>
        <w:jc w:val="start"/>
        <w:rPr>
          <w:i/>
          <w:i/>
          <w:iCs/>
          <w:lang w:val="nl-NL"/>
        </w:rPr>
      </w:pPr>
      <w:r>
        <w:rPr>
          <w:i/>
          <w:iCs/>
          <w:lang w:val="nl-NL"/>
        </w:rPr>
        <w:t>Zaalkerk uit 1972.</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De bovenkas van het front is vijfdelig. Alle velden zijn weliswaar open aan de bovenzijde, maar het pijpwerk wordt visueel bijeengehouden door het soort lijstwerk dat ook de rest van het front kenmerkt. De tussenvelden staan op verhoogde pijpvoet. Het middelste veld is spits, en aan de onderzijde versierd met een kleine console. De onderkas is grotendeels blind, en qua structuur een logische voortzetting van de bovenkas. Bij de onderkas zijn links en rechts zijn twee pijpvelden te zien, onder een halve rondboog. </w:t>
      </w:r>
      <w:r>
        <w:rPr>
          <w:lang w:val="nl-NL"/>
        </w:rPr>
        <w:t>In het midden is de kas versierd met de gotische vierpas, van achteren bespannen met doek.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Christo Lelie, ‘Norman &amp; Beard-orgel herboren in Delft.’ </w:t>
      </w:r>
      <w:r>
        <w:rPr>
          <w:i/>
          <w:lang w:val="nl-NL"/>
        </w:rPr>
        <w:t>De Orgelvriend</w:t>
      </w:r>
      <w:r>
        <w:rPr>
          <w:lang w:val="nl-NL"/>
        </w:rPr>
        <w:t>, 42/7-8 (2000), 6-10.</w:t>
      </w:r>
    </w:p>
    <w:p>
      <w:pPr>
        <w:pStyle w:val="T3Lit"/>
        <w:jc w:val="start"/>
        <w:rPr/>
      </w:pPr>
      <w:r>
        <w:rPr>
          <w:i/>
          <w:lang w:val="nl-NL"/>
        </w:rPr>
        <w:t>De Orgelkrant</w:t>
      </w:r>
      <w:r>
        <w:rPr>
          <w:lang w:val="nl-NL"/>
        </w:rPr>
        <w:t>, 5/4 (2000), 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Norman &amp; Beard Ltd</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Normal"/>
        <w:autoSpaceDE w:val="false"/>
        <w:rPr>
          <w:rFonts w:ascii="Times New Roman" w:hAnsi="Times New Roman" w:cs="Times New Roman"/>
          <w:szCs w:val="24"/>
          <w:lang w:val="nl-NL"/>
        </w:rPr>
      </w:pPr>
      <w:r>
        <w:rPr>
          <w:rFonts w:cs="Times New Roman" w:ascii="Times New Roman" w:hAnsi="Times New Roman"/>
          <w:szCs w:val="24"/>
          <w:lang w:val="nl-NL"/>
        </w:rPr>
      </w:r>
    </w:p>
    <w:p>
      <w:pPr>
        <w:pStyle w:val="Normal"/>
        <w:autoSpaceDE w:val="false"/>
        <w:rPr>
          <w:rFonts w:ascii="Times New Roman" w:hAnsi="Times New Roman" w:cs="Times New Roman"/>
          <w:szCs w:val="24"/>
        </w:rPr>
      </w:pPr>
      <w:r>
        <w:rPr>
          <w:rFonts w:cs="Times New Roman" w:ascii="Times New Roman" w:hAnsi="Times New Roman"/>
          <w:szCs w:val="24"/>
        </w:rPr>
        <w:t>Oorspronkelijke locatie</w:t>
      </w:r>
    </w:p>
    <w:p>
      <w:pPr>
        <w:pStyle w:val="Normal"/>
        <w:autoSpaceDE w:val="false"/>
        <w:rPr>
          <w:rFonts w:ascii="Times New Roman" w:hAnsi="Times New Roman" w:cs="Times New Roman"/>
          <w:szCs w:val="24"/>
        </w:rPr>
      </w:pPr>
      <w:r>
        <w:rPr>
          <w:rFonts w:cs="Times New Roman" w:ascii="Times New Roman" w:hAnsi="Times New Roman"/>
          <w:szCs w:val="24"/>
        </w:rPr>
        <w:t>Church of Saint Andrew (Church of Scotland), Alexandria (Glasgow)</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szCs w:val="24"/>
        </w:rPr>
      </w:pPr>
      <w:r>
        <w:rPr>
          <w:rFonts w:cs="Times New Roman" w:ascii="Times New Roman" w:hAnsi="Times New Roman"/>
          <w:szCs w:val="24"/>
        </w:rPr>
        <w:t>1993</w:t>
      </w:r>
    </w:p>
    <w:p>
      <w:pPr>
        <w:pStyle w:val="Normal"/>
        <w:numPr>
          <w:ilvl w:val="0"/>
          <w:numId w:val="2"/>
        </w:numPr>
        <w:autoSpaceDE w:val="false"/>
        <w:rPr>
          <w:rFonts w:ascii="Times New Roman" w:hAnsi="Times New Roman" w:cs="Times New Roman"/>
          <w:szCs w:val="24"/>
        </w:rPr>
      </w:pPr>
      <w:r>
        <w:rPr>
          <w:rFonts w:cs="Times New Roman" w:ascii="Times New Roman" w:hAnsi="Times New Roman"/>
          <w:szCs w:val="24"/>
        </w:rPr>
        <w:t>orgel verkocht</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pPr>
      <w:r>
        <w:rPr>
          <w:rFonts w:cs="Times New Roman" w:ascii="Times New Roman" w:hAnsi="Times New Roman"/>
        </w:rPr>
        <w:t xml:space="preserve">H. </w:t>
      </w:r>
      <w:r>
        <w:rPr>
          <w:rFonts w:cs="Times New Roman" w:ascii="Times New Roman" w:hAnsi="Times New Roman"/>
          <w:szCs w:val="24"/>
        </w:rPr>
        <w:t xml:space="preserve">Kriek en </w:t>
      </w:r>
      <w:r>
        <w:rPr>
          <w:rFonts w:cs="Times New Roman" w:ascii="Times New Roman" w:hAnsi="Times New Roman"/>
        </w:rPr>
        <w:t xml:space="preserve">N. </w:t>
      </w:r>
      <w:r>
        <w:rPr>
          <w:rFonts w:cs="Times New Roman" w:ascii="Times New Roman" w:hAnsi="Times New Roman"/>
          <w:szCs w:val="24"/>
        </w:rPr>
        <w:t>Meijer</w:t>
      </w:r>
      <w:r>
        <w:rPr>
          <w:rFonts w:cs="Times New Roman" w:ascii="Times New Roman" w:hAnsi="Times New Roman"/>
        </w:rPr>
        <w:t xml:space="preserve"> 1993</w:t>
      </w:r>
    </w:p>
    <w:p>
      <w:pPr>
        <w:pStyle w:val="Normal"/>
        <w:numPr>
          <w:ilvl w:val="0"/>
          <w:numId w:val="3"/>
        </w:numPr>
        <w:autoSpaceDE w:val="false"/>
        <w:rPr>
          <w:rFonts w:ascii="Times New Roman" w:hAnsi="Times New Roman" w:cs="Times New Roman"/>
          <w:szCs w:val="24"/>
        </w:rPr>
      </w:pPr>
      <w:r>
        <w:rPr>
          <w:rFonts w:cs="Times New Roman" w:ascii="Times New Roman" w:hAnsi="Times New Roman"/>
          <w:szCs w:val="24"/>
        </w:rPr>
        <w:t>speeltafel verplaatst van zijkant naar middenvoor</w:t>
      </w:r>
    </w:p>
    <w:p>
      <w:pPr>
        <w:pStyle w:val="Normal"/>
        <w:numPr>
          <w:ilvl w:val="0"/>
          <w:numId w:val="3"/>
        </w:numPr>
        <w:autoSpaceDE w:val="false"/>
        <w:rPr>
          <w:rFonts w:ascii="Times New Roman" w:hAnsi="Times New Roman" w:cs="Times New Roman"/>
          <w:szCs w:val="24"/>
        </w:rPr>
      </w:pPr>
      <w:r>
        <w:rPr>
          <w:rFonts w:cs="Times New Roman" w:ascii="Times New Roman" w:hAnsi="Times New Roman"/>
          <w:szCs w:val="24"/>
        </w:rPr>
        <w:t>pneumatische toetstractuur manualen vervangen door mechanische tractuur; pneumatische toetstractuur pedaal vervangen door elektropneumatiek</w:t>
      </w:r>
    </w:p>
    <w:p>
      <w:pPr>
        <w:pStyle w:val="Normal"/>
        <w:numPr>
          <w:ilvl w:val="0"/>
          <w:numId w:val="3"/>
        </w:numPr>
        <w:autoSpaceDE w:val="false"/>
        <w:rPr/>
      </w:pPr>
      <w:r>
        <w:rPr>
          <w:rFonts w:cs="Times New Roman" w:ascii="Times New Roman" w:hAnsi="Times New Roman"/>
          <w:szCs w:val="24"/>
        </w:rPr>
        <w:t>nieuwe elektropneumatische registertraktuur met</w:t>
      </w:r>
      <w:r>
        <w:rPr>
          <w:rFonts w:cs="Times New Roman" w:ascii="Times New Roman" w:hAnsi="Times New Roman"/>
        </w:rPr>
        <w:t xml:space="preserve"> drie</w:t>
      </w:r>
      <w:r>
        <w:rPr>
          <w:rFonts w:cs="Times New Roman" w:ascii="Times New Roman" w:hAnsi="Times New Roman"/>
          <w:szCs w:val="24"/>
        </w:rPr>
        <w:t xml:space="preserve"> vrije combinaties</w:t>
      </w:r>
    </w:p>
    <w:p>
      <w:pPr>
        <w:pStyle w:val="Normal"/>
        <w:numPr>
          <w:ilvl w:val="0"/>
          <w:numId w:val="3"/>
        </w:numPr>
        <w:autoSpaceDE w:val="false"/>
        <w:rPr>
          <w:rFonts w:ascii="Times New Roman" w:hAnsi="Times New Roman" w:cs="Times New Roman"/>
          <w:szCs w:val="24"/>
        </w:rPr>
      </w:pPr>
      <w:r>
        <w:rPr>
          <w:rFonts w:cs="Times New Roman" w:ascii="Times New Roman" w:hAnsi="Times New Roman"/>
          <w:szCs w:val="24"/>
        </w:rPr>
        <w:t>Great + Mixture 3 r (op kantsleep)</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rPr>
      </w:pPr>
      <w:r>
        <w:rPr>
          <w:rFonts w:cs="Times New Roman" w:ascii="Times New Roman" w:hAnsi="Times New Roman"/>
          <w:szCs w:val="24"/>
        </w:rPr>
        <w:t>2000</w:t>
      </w:r>
    </w:p>
    <w:p>
      <w:pPr>
        <w:pStyle w:val="Normal"/>
        <w:numPr>
          <w:ilvl w:val="0"/>
          <w:numId w:val="4"/>
        </w:numPr>
        <w:autoSpaceDE w:val="false"/>
        <w:rPr>
          <w:rFonts w:ascii="Times New Roman" w:hAnsi="Times New Roman" w:cs="Times New Roman"/>
          <w:szCs w:val="24"/>
        </w:rPr>
      </w:pPr>
      <w:r>
        <w:rPr>
          <w:rFonts w:cs="Times New Roman" w:ascii="Times New Roman" w:hAnsi="Times New Roman"/>
          <w:szCs w:val="24"/>
        </w:rPr>
        <w:t>orgel aangekocht voor de Vierhovenkerk</w:t>
      </w:r>
    </w:p>
    <w:p>
      <w:pPr>
        <w:pStyle w:val="Normal"/>
        <w:autoSpaceDE w:val="false"/>
        <w:rPr>
          <w:rFonts w:ascii="Times New Roman" w:hAnsi="Times New Roman" w:cs="Times New Roman"/>
          <w:szCs w:val="24"/>
        </w:rPr>
      </w:pPr>
      <w:r>
        <w:rPr>
          <w:rFonts w:cs="Times New Roman" w:ascii="Times New Roman" w:hAnsi="Times New Roman"/>
          <w:szCs w:val="24"/>
        </w:rPr>
      </w:r>
    </w:p>
    <w:p>
      <w:pPr>
        <w:pStyle w:val="Normal"/>
        <w:autoSpaceDE w:val="false"/>
        <w:rPr>
          <w:rFonts w:ascii="Times New Roman" w:hAnsi="Times New Roman" w:cs="Times New Roman"/>
          <w:szCs w:val="24"/>
        </w:rPr>
      </w:pPr>
      <w:r>
        <w:rPr>
          <w:rFonts w:cs="Times New Roman" w:ascii="Times New Roman" w:hAnsi="Times New Roman"/>
          <w:szCs w:val="24"/>
        </w:rPr>
        <w:t>A. Nijsse &amp; Zoon 2000</w:t>
      </w:r>
    </w:p>
    <w:p>
      <w:pPr>
        <w:pStyle w:val="T1"/>
        <w:numPr>
          <w:ilvl w:val="0"/>
          <w:numId w:val="4"/>
        </w:numPr>
        <w:jc w:val="start"/>
        <w:rPr>
          <w:lang w:val="nl-NL"/>
        </w:rPr>
      </w:pPr>
      <w:r>
        <w:rPr>
          <w:lang w:val="nl-NL"/>
        </w:rPr>
        <w:t>orgel gerestaureerd en geplaatst te Delft, Vierhovenkerk</w:t>
      </w:r>
    </w:p>
    <w:p>
      <w:pPr>
        <w:pStyle w:val="T1"/>
        <w:numPr>
          <w:ilvl w:val="0"/>
          <w:numId w:val="4"/>
        </w:numPr>
        <w:jc w:val="start"/>
        <w:rPr>
          <w:lang w:val="nl-NL"/>
        </w:rPr>
      </w:pPr>
      <w:r>
        <w:rPr>
          <w:lang w:val="nl-NL"/>
        </w:rPr>
        <w:t>nieuw stellingwerk; lade Swell in onderkas geplaatst; lade Great in bovenkas</w:t>
      </w:r>
    </w:p>
    <w:p>
      <w:pPr>
        <w:pStyle w:val="T1"/>
        <w:numPr>
          <w:ilvl w:val="0"/>
          <w:numId w:val="4"/>
        </w:numPr>
        <w:jc w:val="start"/>
        <w:rPr>
          <w:lang w:val="nl-NL"/>
        </w:rPr>
      </w:pPr>
      <w:r>
        <w:rPr>
          <w:lang w:val="nl-NL"/>
        </w:rPr>
        <w:t>nieuwe windvoorzienig inclusief kanalen; tremulant Great toegevoegd</w:t>
      </w:r>
    </w:p>
    <w:p>
      <w:pPr>
        <w:pStyle w:val="T1"/>
        <w:numPr>
          <w:ilvl w:val="0"/>
          <w:numId w:val="4"/>
        </w:numPr>
        <w:jc w:val="start"/>
        <w:rPr>
          <w:lang w:val="nl-NL"/>
        </w:rPr>
      </w:pPr>
      <w:r>
        <w:rPr>
          <w:lang w:val="nl-NL"/>
        </w:rPr>
        <w:t>pneumatische bediening zwelkast vervangen door mechanische</w:t>
      </w:r>
    </w:p>
    <w:p>
      <w:pPr>
        <w:pStyle w:val="T1"/>
        <w:numPr>
          <w:ilvl w:val="0"/>
          <w:numId w:val="4"/>
        </w:numPr>
        <w:jc w:val="start"/>
        <w:rPr>
          <w:lang w:val="nl-NL"/>
        </w:rPr>
      </w:pPr>
      <w:r>
        <w:rPr>
          <w:lang w:val="nl-NL"/>
        </w:rPr>
        <w:t>nieuwe mechanische toetstractuur voor de manualen met bijbehorende koppelingen; elektropneumatische toetstractuur Ped gereviseerd</w:t>
      </w:r>
    </w:p>
    <w:p>
      <w:pPr>
        <w:pStyle w:val="T1"/>
        <w:numPr>
          <w:ilvl w:val="0"/>
          <w:numId w:val="4"/>
        </w:numPr>
        <w:jc w:val="start"/>
        <w:rPr>
          <w:lang w:val="nl-NL"/>
        </w:rPr>
      </w:pPr>
      <w:r>
        <w:rPr>
          <w:lang w:val="nl-NL"/>
        </w:rPr>
        <w:t>windladen gerestaureerd; lade Great van nieuwe dubbele kantsleep aan achterzijde voorzien</w:t>
      </w:r>
    </w:p>
    <w:p>
      <w:pPr>
        <w:pStyle w:val="T1"/>
        <w:numPr>
          <w:ilvl w:val="0"/>
          <w:numId w:val="4"/>
        </w:numPr>
        <w:jc w:val="start"/>
        <w:rPr/>
      </w:pPr>
      <w:r>
        <w:rPr/>
        <w:t>Great + Twelfth 2'</w:t>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7270" w:type="dxa"/>
        <w:jc w:val="start"/>
        <w:tblInd w:w="-70" w:type="dxa"/>
        <w:tblLayout w:type="fixed"/>
        <w:tblCellMar>
          <w:top w:w="0" w:type="dxa"/>
          <w:start w:w="70" w:type="dxa"/>
          <w:bottom w:w="0" w:type="dxa"/>
          <w:end w:w="70" w:type="dxa"/>
        </w:tblCellMar>
      </w:tblPr>
      <w:tblGrid>
        <w:gridCol w:w="1870"/>
        <w:gridCol w:w="720"/>
        <w:gridCol w:w="1620"/>
        <w:gridCol w:w="631"/>
        <w:gridCol w:w="1643"/>
        <w:gridCol w:w="786"/>
      </w:tblGrid>
      <w:tr>
        <w:trPr/>
        <w:tc>
          <w:tcPr>
            <w:tcW w:w="1870" w:type="dxa"/>
            <w:tcBorders/>
          </w:tcPr>
          <w:p>
            <w:pPr>
              <w:pStyle w:val="T4dispositie"/>
              <w:jc w:val="start"/>
              <w:rPr>
                <w:i/>
                <w:i/>
                <w:iCs/>
                <w:lang w:val="nl-NL"/>
              </w:rPr>
            </w:pPr>
            <w:r>
              <w:rPr>
                <w:i/>
                <w:iCs/>
                <w:lang w:val="nl-NL"/>
              </w:rPr>
              <w:t>Great Organ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Lieblich Bourdon</w:t>
            </w:r>
          </w:p>
          <w:p>
            <w:pPr>
              <w:pStyle w:val="T4dispositie"/>
              <w:jc w:val="start"/>
              <w:rPr>
                <w:lang w:val="nl-NL"/>
              </w:rPr>
            </w:pPr>
            <w:r>
              <w:rPr>
                <w:lang w:val="nl-NL"/>
              </w:rPr>
              <w:t>Hohlflute</w:t>
            </w:r>
          </w:p>
          <w:p>
            <w:pPr>
              <w:pStyle w:val="T4dispositie"/>
              <w:jc w:val="start"/>
              <w:rPr>
                <w:lang w:val="nl-NL"/>
              </w:rPr>
            </w:pPr>
            <w:r>
              <w:rPr>
                <w:lang w:val="nl-NL"/>
              </w:rPr>
              <w:t>Dulciana</w:t>
            </w:r>
          </w:p>
          <w:p>
            <w:pPr>
              <w:pStyle w:val="T4dispositie"/>
              <w:jc w:val="start"/>
              <w:rPr>
                <w:lang w:val="nl-NL"/>
              </w:rPr>
            </w:pPr>
            <w:r>
              <w:rPr>
                <w:lang w:val="nl-NL"/>
              </w:rPr>
              <w:t>Principal</w:t>
            </w:r>
          </w:p>
          <w:p>
            <w:pPr>
              <w:pStyle w:val="T4dispositie"/>
              <w:jc w:val="start"/>
              <w:rPr>
                <w:lang w:val="nl-NL"/>
              </w:rPr>
            </w:pPr>
            <w:r>
              <w:rPr>
                <w:lang w:val="nl-NL"/>
              </w:rPr>
              <w:t>Twelfth</w:t>
            </w:r>
          </w:p>
          <w:p>
            <w:pPr>
              <w:pStyle w:val="T4dispositie"/>
              <w:jc w:val="start"/>
              <w:rPr>
                <w:lang w:val="nl-NL"/>
              </w:rPr>
            </w:pPr>
            <w:r>
              <w:rPr>
                <w:lang w:val="nl-NL"/>
              </w:rPr>
              <w:t>Fifteenth</w:t>
            </w:r>
          </w:p>
          <w:p>
            <w:pPr>
              <w:pStyle w:val="T4dispositie"/>
              <w:jc w:val="start"/>
              <w:rPr>
                <w:lang w:val="nl-NL"/>
              </w:rPr>
            </w:pPr>
            <w:r>
              <w:rPr>
                <w:lang w:val="nl-NL"/>
              </w:rPr>
              <w:t>Mixture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 r.</w:t>
            </w:r>
          </w:p>
        </w:tc>
        <w:tc>
          <w:tcPr>
            <w:tcW w:w="1620" w:type="dxa"/>
            <w:tcBorders/>
          </w:tcPr>
          <w:p>
            <w:pPr>
              <w:pStyle w:val="T4dispositie"/>
              <w:jc w:val="start"/>
              <w:rPr>
                <w:i/>
                <w:i/>
                <w:iCs/>
                <w:lang w:val="nl-NL"/>
              </w:rPr>
            </w:pPr>
            <w:r>
              <w:rPr>
                <w:i/>
                <w:iCs/>
                <w:lang w:val="nl-NL"/>
              </w:rPr>
              <w:t>Swell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Rohrflote</w:t>
            </w:r>
          </w:p>
          <w:p>
            <w:pPr>
              <w:pStyle w:val="T4dispositie"/>
              <w:jc w:val="start"/>
              <w:rPr>
                <w:lang w:val="nl-NL"/>
              </w:rPr>
            </w:pPr>
            <w:r>
              <w:rPr>
                <w:lang w:val="nl-NL"/>
              </w:rPr>
              <w:t>Echo Gamba</w:t>
            </w:r>
          </w:p>
          <w:p>
            <w:pPr>
              <w:pStyle w:val="T4dispositie"/>
              <w:jc w:val="start"/>
              <w:rPr>
                <w:lang w:val="nl-NL"/>
              </w:rPr>
            </w:pPr>
            <w:r>
              <w:rPr>
                <w:lang w:val="nl-NL"/>
              </w:rPr>
              <w:t>Voix Celeste</w:t>
            </w:r>
          </w:p>
          <w:p>
            <w:pPr>
              <w:pStyle w:val="T4dispositie"/>
              <w:jc w:val="start"/>
              <w:rPr>
                <w:lang w:val="nl-NL"/>
              </w:rPr>
            </w:pPr>
            <w:r>
              <w:rPr>
                <w:lang w:val="nl-NL"/>
              </w:rPr>
              <w:t>Gemshorn</w:t>
            </w:r>
          </w:p>
          <w:p>
            <w:pPr>
              <w:pStyle w:val="T4dispositie"/>
              <w:jc w:val="start"/>
              <w:rPr>
                <w:lang w:val="nl-NL"/>
              </w:rPr>
            </w:pPr>
            <w:r>
              <w:rPr>
                <w:lang w:val="nl-NL"/>
              </w:rPr>
              <w:t>Cornopean</w:t>
            </w:r>
          </w:p>
          <w:p>
            <w:pPr>
              <w:pStyle w:val="T4dispositie"/>
              <w:jc w:val="start"/>
              <w:rPr>
                <w:lang w:val="nl-NL"/>
              </w:rPr>
            </w:pPr>
            <w:r>
              <w:rPr>
                <w:lang w:val="nl-NL"/>
              </w:rPr>
              <w:t>Oboe</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p>
            <w:pPr>
              <w:pStyle w:val="T4dispositie"/>
              <w:jc w:val="start"/>
              <w:rPr>
                <w:lang w:val="nl-NL"/>
              </w:rPr>
            </w:pPr>
            <w:r>
              <w:rPr>
                <w:lang w:val="nl-NL"/>
              </w:rPr>
              <w:t>8'</w:t>
            </w:r>
          </w:p>
        </w:tc>
        <w:tc>
          <w:tcPr>
            <w:tcW w:w="1643" w:type="dxa"/>
            <w:tcBorders/>
          </w:tcPr>
          <w:p>
            <w:pPr>
              <w:pStyle w:val="T4dispositie"/>
              <w:jc w:val="start"/>
              <w:rPr>
                <w:i/>
                <w:i/>
                <w:iCs/>
                <w:lang w:val="nl-NL"/>
              </w:rPr>
            </w:pPr>
            <w:r>
              <w:rPr>
                <w:i/>
                <w:iCs/>
                <w:lang w:val="nl-NL"/>
              </w:rPr>
              <w:t>Pedal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Lieblich Bourdon</w:t>
            </w:r>
          </w:p>
          <w:p>
            <w:pPr>
              <w:pStyle w:val="T4dispositie"/>
              <w:jc w:val="start"/>
              <w:rPr>
                <w:lang w:val="nl-NL"/>
              </w:rPr>
            </w:pPr>
            <w:r>
              <w:rPr>
                <w:lang w:val="nl-NL"/>
              </w:rPr>
              <w:t>Bass Flute</w:t>
            </w:r>
          </w:p>
        </w:tc>
        <w:tc>
          <w:tcPr>
            <w:tcW w:w="78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 tr</w:t>
            </w:r>
          </w:p>
          <w:p>
            <w:pPr>
              <w:pStyle w:val="T4dispositie"/>
              <w:jc w:val="start"/>
              <w:rPr>
                <w:lang w:val="nl-NL"/>
              </w:rPr>
            </w:pPr>
            <w:r>
              <w:rPr>
                <w:lang w:val="nl-NL"/>
              </w:rPr>
              <w:t>8'</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 Swell to Pedal</w:t>
      </w:r>
    </w:p>
    <w:p>
      <w:pPr>
        <w:pStyle w:val="T1"/>
        <w:jc w:val="start"/>
        <w:rPr>
          <w:lang w:val="nl-NL"/>
        </w:rPr>
      </w:pPr>
      <w:r>
        <w:rPr>
          <w:lang w:val="nl-NL"/>
        </w:rPr>
        <w:t>trede Swell</w:t>
      </w:r>
    </w:p>
    <w:p>
      <w:pPr>
        <w:pStyle w:val="T1"/>
        <w:jc w:val="start"/>
        <w:rPr>
          <w:lang w:val="nl-NL"/>
        </w:rPr>
      </w:pPr>
      <w:r>
        <w:rPr>
          <w:lang w:val="nl-NL"/>
        </w:rPr>
        <w:t>drie vrije combinaties</w:t>
      </w:r>
    </w:p>
    <w:p>
      <w:pPr>
        <w:pStyle w:val="T1"/>
        <w:jc w:val="start"/>
        <w:rPr>
          <w:lang w:val="nl-NL"/>
        </w:rPr>
      </w:pPr>
      <w:r>
        <w:rPr>
          <w:lang w:val="nl-NL"/>
        </w:rPr>
        <w:t>tremulant Great, tremulant Swell</w:t>
      </w:r>
    </w:p>
    <w:p>
      <w:pPr>
        <w:pStyle w:val="T1"/>
        <w:jc w:val="start"/>
        <w:rPr>
          <w:lang w:val="nl-NL"/>
        </w:rPr>
      </w:pPr>
      <w:r>
        <w:rPr>
          <w:lang w:val="nl-NL"/>
        </w:rPr>
      </w:r>
    </w:p>
    <w:p>
      <w:pPr>
        <w:pStyle w:val="T1"/>
        <w:jc w:val="start"/>
        <w:rPr>
          <w:lang w:val="nl-NL"/>
        </w:rPr>
      </w:pPr>
      <w:r>
        <w:rPr>
          <w:lang w:val="nl-NL"/>
        </w:rPr>
        <w:t>Samenstelling vulstem</w:t>
      </w:r>
    </w:p>
    <w:tbl>
      <w:tblPr>
        <w:tblW w:w="3032" w:type="dxa"/>
        <w:jc w:val="start"/>
        <w:tblInd w:w="-70" w:type="dxa"/>
        <w:tblLayout w:type="fixed"/>
        <w:tblCellMar>
          <w:top w:w="0" w:type="dxa"/>
          <w:start w:w="70" w:type="dxa"/>
          <w:bottom w:w="0" w:type="dxa"/>
          <w:end w:w="70" w:type="dxa"/>
        </w:tblCellMar>
      </w:tblPr>
      <w:tblGrid>
        <w:gridCol w:w="1585"/>
        <w:gridCol w:w="718"/>
        <w:gridCol w:w="729"/>
      </w:tblGrid>
      <w:tr>
        <w:trPr/>
        <w:tc>
          <w:tcPr>
            <w:tcW w:w="1585" w:type="dxa"/>
            <w:tcBorders/>
          </w:tcPr>
          <w:p>
            <w:pPr>
              <w:pStyle w:val="T1"/>
              <w:jc w:val="start"/>
              <w:rPr>
                <w:lang w:val="nl-NL"/>
              </w:rPr>
            </w:pPr>
            <w:r>
              <w:rPr>
                <w:lang w:val="nl-NL"/>
              </w:rPr>
              <w:t>Mixture Great</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3/5</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C-c</w:t>
      </w:r>
      <w:r>
        <w:rPr>
          <w:vertAlign w:val="superscript"/>
          <w:lang w:val="nl-NL"/>
        </w:rPr>
        <w:t>4</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w:t>
      </w:r>
    </w:p>
    <w:p>
      <w:pPr>
        <w:pStyle w:val="T1"/>
        <w:jc w:val="start"/>
        <w:rPr>
          <w:lang w:val="nl-NL"/>
        </w:rPr>
      </w:pPr>
      <w:r>
        <w:rPr>
          <w:lang w:val="nl-NL"/>
        </w:rPr>
        <w:t>Winddruk</w:t>
      </w:r>
    </w:p>
    <w:p>
      <w:pPr>
        <w:pStyle w:val="T1"/>
        <w:jc w:val="start"/>
        <w:rPr>
          <w:lang w:val="nl-NL"/>
        </w:rPr>
      </w:pPr>
      <w:r>
        <w:rPr>
          <w:lang w:val="nl-NL"/>
        </w:rPr>
        <w:t>79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Normal"/>
        <w:autoSpaceDE w:val="false"/>
        <w:rPr>
          <w:rFonts w:ascii="Times New Roman" w:hAnsi="Times New Roman" w:cs="Times New Roman"/>
          <w:szCs w:val="24"/>
        </w:rPr>
      </w:pPr>
      <w:r>
        <w:rPr>
          <w:rFonts w:cs="Times New Roman" w:ascii="Times New Roman" w:hAnsi="Times New Roman"/>
        </w:rPr>
        <w:t xml:space="preserve">Op de oorspronkelijke locatie bevond het orgel zich boven de preekstoel, waar het qua ontwerp een geheel mee vormde. De preekstoel is in Engeland achtergebleven, evenals de gehele oorspronkelijke windvoorziening. </w:t>
      </w:r>
      <w:r>
        <w:rPr>
          <w:rFonts w:cs="Times New Roman" w:ascii="Times New Roman" w:hAnsi="Times New Roman"/>
          <w:szCs w:val="24"/>
        </w:rPr>
        <w:t>De huidige windvoorziening is thans een kleine magazijnbalg met</w:t>
      </w:r>
      <w:r>
        <w:rPr>
          <w:rFonts w:cs="Times New Roman" w:ascii="Times New Roman" w:hAnsi="Times New Roman"/>
        </w:rPr>
        <w:t xml:space="preserve"> </w:t>
      </w:r>
      <w:r>
        <w:rPr>
          <w:rFonts w:cs="Times New Roman" w:ascii="Times New Roman" w:hAnsi="Times New Roman"/>
          <w:szCs w:val="24"/>
        </w:rPr>
        <w:t>twee regulateurs, omsloten door een eiken kist aan de linkerzijkant van het orgel</w:t>
      </w:r>
      <w:r>
        <w:rPr>
          <w:rFonts w:cs="Times New Roman" w:ascii="Times New Roman" w:hAnsi="Times New Roman"/>
        </w:rPr>
        <w:t>.</w:t>
      </w:r>
    </w:p>
    <w:p>
      <w:pPr>
        <w:pStyle w:val="Normal"/>
        <w:autoSpaceDE w:val="false"/>
        <w:rPr/>
      </w:pPr>
      <w:r>
        <w:rPr>
          <w:rFonts w:cs="Times New Roman" w:ascii="Times New Roman" w:hAnsi="Times New Roman"/>
          <w:szCs w:val="24"/>
        </w:rPr>
        <w:t>Het Ped dat oorspronkelijk achter in de kas stond opgesteld</w:t>
      </w:r>
      <w:r>
        <w:rPr>
          <w:rFonts w:cs="Times New Roman" w:ascii="Times New Roman" w:hAnsi="Times New Roman"/>
        </w:rPr>
        <w:t xml:space="preserve"> </w:t>
      </w:r>
      <w:r>
        <w:rPr>
          <w:rFonts w:cs="Times New Roman" w:ascii="Times New Roman" w:hAnsi="Times New Roman"/>
          <w:szCs w:val="24"/>
        </w:rPr>
        <w:t>is nu verdeeld: Subass C Cis D en de Bass Flute achterin en de</w:t>
      </w:r>
      <w:r>
        <w:rPr>
          <w:rFonts w:cs="Times New Roman" w:ascii="Times New Roman" w:hAnsi="Times New Roman"/>
        </w:rPr>
        <w:t xml:space="preserve"> </w:t>
      </w:r>
      <w:r>
        <w:rPr>
          <w:rFonts w:cs="Times New Roman" w:ascii="Times New Roman" w:hAnsi="Times New Roman"/>
          <w:szCs w:val="24"/>
        </w:rPr>
        <w:t>overige Subbasspijpen links en rechts in de kas. De frontpijpen zijn van zwaar zink met orgelmetalen labia; de conducten zijn van plastic.</w:t>
      </w:r>
    </w:p>
    <w:p>
      <w:pPr>
        <w:pStyle w:val="Normal"/>
        <w:autoSpaceDE w:val="false"/>
        <w:rPr/>
      </w:pPr>
      <w:r>
        <w:rPr>
          <w:rFonts w:cs="Times New Roman" w:ascii="Times New Roman" w:hAnsi="Times New Roman"/>
          <w:szCs w:val="24"/>
        </w:rPr>
        <w:t>Het houten pijpwerk is van grenen. De grotere labialen zijn van zwaar zink met voeten van spotted metal</w:t>
      </w:r>
      <w:r>
        <w:rPr>
          <w:rFonts w:cs="Times New Roman" w:ascii="Times New Roman" w:hAnsi="Times New Roman"/>
        </w:rPr>
        <w:t xml:space="preserve"> De t</w:t>
      </w:r>
      <w:r>
        <w:rPr>
          <w:rFonts w:cs="Times New Roman" w:ascii="Times New Roman" w:hAnsi="Times New Roman"/>
          <w:szCs w:val="24"/>
        </w:rPr>
        <w:t>ongwerken hebben metalen stevels en koppen en zinken bekers.</w:t>
      </w:r>
      <w:r>
        <w:rPr>
          <w:rFonts w:cs="Times New Roman" w:ascii="Times New Roman" w:hAnsi="Times New Roman"/>
        </w:rPr>
        <w:t xml:space="preserve"> De bekers van de </w:t>
      </w:r>
      <w:r>
        <w:rPr>
          <w:rFonts w:cs="Times New Roman" w:ascii="Times New Roman" w:hAnsi="Times New Roman"/>
          <w:szCs w:val="24"/>
        </w:rPr>
        <w:t>Oboe zijn voorzien van dekseltjes, b</w:t>
      </w:r>
      <w:r>
        <w:rPr>
          <w:rFonts w:cs="Times New Roman" w:ascii="Times New Roman" w:hAnsi="Times New Roman"/>
          <w:szCs w:val="24"/>
          <w:vertAlign w:val="superscript"/>
        </w:rPr>
        <w:t>3</w:t>
      </w:r>
      <w:r>
        <w:rPr>
          <w:rFonts w:cs="Times New Roman" w:ascii="Times New Roman" w:hAnsi="Times New Roman"/>
          <w:szCs w:val="24"/>
        </w:rPr>
        <w:t>-c</w:t>
      </w:r>
      <w:r>
        <w:rPr>
          <w:rFonts w:cs="Times New Roman" w:ascii="Times New Roman" w:hAnsi="Times New Roman"/>
          <w:szCs w:val="24"/>
          <w:vertAlign w:val="superscript"/>
        </w:rPr>
        <w:t>4</w:t>
      </w:r>
      <w:r>
        <w:rPr>
          <w:rFonts w:cs="Times New Roman" w:ascii="Times New Roman" w:hAnsi="Times New Roman"/>
          <w:szCs w:val="24"/>
        </w:rPr>
        <w:t xml:space="preserve"> zijn labiaal.</w:t>
      </w:r>
    </w:p>
    <w:p>
      <w:pPr>
        <w:pStyle w:val="Normal"/>
        <w:autoSpaceDE w:val="false"/>
        <w:rPr/>
      </w:pPr>
      <w:r>
        <w:rPr>
          <w:rFonts w:cs="Times New Roman" w:ascii="Times New Roman" w:hAnsi="Times New Roman"/>
          <w:szCs w:val="24"/>
        </w:rPr>
        <w:t>C-H van de Rohrflote zijn van hout, de rest is van spotted metal met in de discant houten roeren. De Mixture en de Twelfth (Great) staan op een nieuwe dubbele kantsleep. Het pijpwerk van de Twelfth is ouder materaal</w:t>
      </w:r>
      <w:r>
        <w:rPr>
          <w:rFonts w:cs="Times New Roman" w:ascii="Times New Roman" w:hAnsi="Times New Roman"/>
        </w:rPr>
        <w:t xml:space="preserve"> </w:t>
      </w:r>
      <w:r>
        <w:rPr>
          <w:rFonts w:cs="Times New Roman" w:ascii="Times New Roman" w:hAnsi="Times New Roman"/>
          <w:szCs w:val="24"/>
        </w:rPr>
        <w:t>uit voorraad van de restaurateur.</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szCs w:val="24"/>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Cs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2009-08-02T21:29:00Z</dcterms:created>
  <dc:creator>WS1</dc:creator>
  <dc:description/>
  <dc:language>en-US</dc:language>
  <cp:lastModifiedBy>NIvO</cp:lastModifiedBy>
  <dcterms:modified xsi:type="dcterms:W3CDTF">2009-10-27T09:17:00Z</dcterms:modified>
  <cp:revision>4</cp:revision>
  <dc:subject/>
  <dc:title>Schagen / 1879</dc:title>
</cp:coreProperties>
</file>