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Edam / 1903</w:t>
      </w:r>
    </w:p>
    <w:p>
      <w:pPr>
        <w:pStyle w:val="Heading2"/>
        <w:ind w:start="0" w:end="0" w:hanging="0"/>
        <w:rPr>
          <w:i w:val="false"/>
          <w:i w:val="false"/>
          <w:iCs/>
        </w:rPr>
      </w:pPr>
      <w:r>
        <w:rPr>
          <w:i w:val="false"/>
          <w:iCs/>
        </w:rPr>
        <w:t>Doopsgezinde Kerk</w:t>
      </w:r>
    </w:p>
    <w:p>
      <w:pPr>
        <w:pStyle w:val="T1"/>
        <w:jc w:val="start"/>
        <w:rPr>
          <w:i/>
          <w:i/>
          <w:iCs/>
        </w:rPr>
      </w:pPr>
      <w:r>
        <w:rPr>
          <w:i/>
          <w:iCs/>
        </w:rPr>
      </w:r>
    </w:p>
    <w:p>
      <w:pPr>
        <w:pStyle w:val="T1"/>
        <w:jc w:val="start"/>
        <w:rPr>
          <w:i/>
          <w:i/>
          <w:iCs/>
        </w:rPr>
      </w:pPr>
      <w:r>
        <w:rPr>
          <w:i/>
          <w:iCs/>
        </w:rPr>
        <w:t>Eniszins verscholen gelegen Vermaning, gebouwd in 1702 op de plaats van een door brand verwoest ouder kerkgebouw. Gaaf interieur uit de bouwtijd.</w:t>
      </w:r>
    </w:p>
    <w:p>
      <w:pPr>
        <w:pStyle w:val="T1"/>
        <w:jc w:val="start"/>
        <w:rPr>
          <w:i/>
          <w:i/>
          <w:iCs/>
        </w:rPr>
      </w:pPr>
      <w:r>
        <w:rPr>
          <w:i/>
          <w:iCs/>
        </w:rPr>
      </w:r>
    </w:p>
    <w:p>
      <w:pPr>
        <w:pStyle w:val="T1"/>
        <w:jc w:val="start"/>
        <w:rPr>
          <w:lang w:val="nl-NL"/>
        </w:rPr>
      </w:pPr>
      <w:r>
        <w:rPr>
          <w:lang w:val="nl-NL"/>
        </w:rPr>
        <w:t>Kas: 1903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lang w:val="nl-NL"/>
        </w:rPr>
        <w:t xml:space="preserve">Een vier-voets versie van het Bakker &amp; Timmenga-fronttype dat vanaf Wouterswoude (1894, deel 1894-1901, 30-31) werd toegepast. </w:t>
      </w:r>
      <w:r>
        <w:rPr/>
        <w:t>Torens met elk zeven pijpen, tussenvelden vlak en recht uitgevoerd, zeven pijpen per veld met parallel labiumverloop, scheiding door middel van een lijst met boogsegment aan de onderzijde.</w:t>
      </w:r>
    </w:p>
    <w:p>
      <w:pPr>
        <w:pStyle w:val="T2Kunst"/>
        <w:jc w:val="start"/>
        <w:rPr>
          <w:lang w:val="nl-NL"/>
        </w:rPr>
      </w:pPr>
      <w:r>
        <w:rPr>
          <w:lang w:val="nl-NL"/>
        </w:rPr>
        <w:t>Blinderingen bij de pijpvoeten zijn door de makers niet aangebracht. De blinderingen boven in de torens zijn samengesteld uit C-voluten, blad- en bloemmotieven.</w:t>
      </w:r>
    </w:p>
    <w:p>
      <w:pPr>
        <w:pStyle w:val="T2Kunst"/>
        <w:jc w:val="start"/>
        <w:rPr/>
      </w:pPr>
      <w:r>
        <w:rPr/>
        <w:t xml:space="preserve">De opzetstukken zijn in dezelfde vormentaal uitgevoerd, bij de middentoren vormt een lier de bekroning. </w:t>
      </w:r>
      <w:r>
        <w:rPr>
          <w:lang w:val="nl-NL"/>
        </w:rPr>
        <w:t xml:space="preserve">Bij de boveneinden van de veldpijpen zijn eenvoudige bladrankjes aangebracht. De </w:t>
      </w:r>
      <w:r>
        <w:rPr>
          <w:i/>
          <w:iCs/>
          <w:lang w:val="nl-NL"/>
        </w:rPr>
        <w:t>culs-de-lampe</w:t>
      </w:r>
      <w:r>
        <w:rPr>
          <w:lang w:val="nl-NL"/>
        </w:rPr>
        <w:t xml:space="preserve"> bestaan uit omgekruld acanthusbladmotieven.</w:t>
      </w:r>
    </w:p>
    <w:p>
      <w:pPr>
        <w:pStyle w:val="T2Kunst"/>
        <w:jc w:val="start"/>
        <w:rPr>
          <w:lang w:val="nl-NL"/>
        </w:rPr>
      </w:pPr>
      <w:r>
        <w:rPr>
          <w:lang w:val="nl-NL"/>
        </w:rPr>
        <w:t>Bij de plaatsing in Edam in 1994 heeft de architect van de kerkrestauratie aldaar voorgeschreven de vleugelstukken niet aan te brengen. Ze zijn in het kerkgebouw opgeslagen. Ook de blauwe, gemêleerd opgebrachte kleur is door de architect voorgeschreven. In Gaastmeer was de kas in een donkere eikenimitatie geschilderd, afgezet met lichte biezen, waarvan de kleur (licht-beige) ook voor alle ornamentwerk was gebruikt.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Hans van Nieuwkoop, Willem Poot, </w:t>
      </w:r>
      <w:r>
        <w:rPr>
          <w:i/>
          <w:iCs/>
          <w:lang w:val="nl-NL"/>
        </w:rPr>
        <w:t>Orgel in Noord-Holland</w:t>
      </w:r>
      <w:r>
        <w:rPr>
          <w:lang w:val="nl-NL"/>
        </w:rPr>
        <w:t>. Schoorl, z.j. [1996], 232.</w:t>
      </w:r>
    </w:p>
    <w:p>
      <w:pPr>
        <w:pStyle w:val="T3Lit"/>
        <w:jc w:val="start"/>
        <w:rPr>
          <w:b/>
          <w:b/>
          <w:bCs/>
          <w:lang w:val="nl-NL"/>
        </w:rPr>
      </w:pPr>
      <w:r>
        <w:rPr>
          <w:b/>
          <w:bCs/>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pPr>
      <w:r>
        <w:rPr>
          <w:lang w:val="nl-NL"/>
        </w:rPr>
        <w:t xml:space="preserve">Jan Jongepier, </w:t>
      </w:r>
      <w:r>
        <w:rPr>
          <w:i/>
          <w:iCs/>
          <w:lang w:val="nl-NL"/>
        </w:rPr>
        <w:t>Rapport over het orgel in de Gereformeerde kerk te Gaastmeer, te plaatsen in de Doopsgezinde kerk te Edam</w:t>
      </w:r>
      <w:r>
        <w:rPr>
          <w:lang w:val="nl-NL"/>
        </w:rPr>
        <w:t>. Z.p. [Leeuwarden], 1991.</w:t>
      </w:r>
    </w:p>
    <w:p>
      <w:pPr>
        <w:pStyle w:val="T3Lit"/>
        <w:jc w:val="start"/>
        <w:rPr>
          <w:lang w:val="nl-NL"/>
        </w:rPr>
      </w:pPr>
      <w:r>
        <w:rPr>
          <w:lang w:val="nl-NL"/>
        </w:rPr>
      </w:r>
    </w:p>
    <w:p>
      <w:pPr>
        <w:pStyle w:val="T3Lit"/>
        <w:jc w:val="start"/>
        <w:rPr>
          <w:lang w:val="nl-NL"/>
        </w:rPr>
      </w:pPr>
      <w:r>
        <w:rPr>
          <w:lang w:val="nl-NL"/>
        </w:rPr>
        <w:t>Monumentnummer 14371</w:t>
      </w:r>
    </w:p>
    <w:p>
      <w:pPr>
        <w:pStyle w:val="T3Lit"/>
        <w:jc w:val="start"/>
        <w:rPr>
          <w:lang w:val="nl-NL"/>
        </w:rPr>
      </w:pPr>
      <w:r>
        <w:rPr>
          <w:lang w:val="nl-NL"/>
        </w:rPr>
        <w:t>Orgelnummer 468</w:t>
      </w:r>
    </w:p>
    <w:p>
      <w:pPr>
        <w:pStyle w:val="T3Lit"/>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Gaastmeer, Gereformeerde Kerk</w:t>
      </w:r>
    </w:p>
    <w:p>
      <w:pPr>
        <w:pStyle w:val="T1"/>
        <w:jc w:val="start"/>
        <w:rPr>
          <w:lang w:val="nl-NL"/>
        </w:rPr>
      </w:pPr>
      <w:r>
        <w:rPr>
          <w:lang w:val="nl-NL"/>
        </w:rPr>
      </w:r>
    </w:p>
    <w:p>
      <w:pPr>
        <w:pStyle w:val="T1"/>
        <w:jc w:val="start"/>
        <w:rPr/>
      </w:pPr>
      <w:r>
        <w:rPr/>
        <w:t>Onbekend moment</w:t>
      </w:r>
    </w:p>
    <w:p>
      <w:pPr>
        <w:pStyle w:val="T1"/>
        <w:numPr>
          <w:ilvl w:val="0"/>
          <w:numId w:val="2"/>
        </w:numPr>
        <w:jc w:val="start"/>
        <w:rPr>
          <w:lang w:val="nl-NL"/>
        </w:rPr>
      </w:pPr>
      <w:r>
        <w:rPr>
          <w:lang w:val="nl-NL"/>
        </w:rPr>
        <w:t>orgelkas overgeschilderd</w:t>
      </w:r>
    </w:p>
    <w:p>
      <w:pPr>
        <w:pStyle w:val="T1"/>
        <w:jc w:val="start"/>
        <w:rPr>
          <w:lang w:val="nl-NL"/>
        </w:rPr>
      </w:pPr>
      <w:r>
        <w:rPr>
          <w:lang w:val="nl-NL"/>
        </w:rPr>
      </w:r>
    </w:p>
    <w:p>
      <w:pPr>
        <w:pStyle w:val="T1"/>
        <w:jc w:val="start"/>
        <w:rPr>
          <w:lang w:val="nl-NL"/>
        </w:rPr>
      </w:pPr>
      <w:r>
        <w:rPr>
          <w:lang w:val="nl-NL"/>
        </w:rPr>
        <w:t>Orgelmakerij Bakker &amp; Timmenga 1991</w:t>
      </w:r>
    </w:p>
    <w:p>
      <w:pPr>
        <w:pStyle w:val="T1"/>
        <w:numPr>
          <w:ilvl w:val="0"/>
          <w:numId w:val="2"/>
        </w:numPr>
        <w:jc w:val="start"/>
        <w:rPr>
          <w:lang w:val="nl-NL"/>
        </w:rPr>
      </w:pPr>
      <w:r>
        <w:rPr>
          <w:lang w:val="nl-NL"/>
        </w:rPr>
        <w:t>orgel gedemonteerd na sluiting kerkgebouw Gaastmeer en tijdelijk als hulporgel geplaatst in Hervormde Kerk Ternaard</w:t>
      </w:r>
    </w:p>
    <w:p>
      <w:pPr>
        <w:pStyle w:val="T1"/>
        <w:jc w:val="start"/>
        <w:rPr>
          <w:lang w:val="nl-NL"/>
        </w:rPr>
      </w:pPr>
      <w:r>
        <w:rPr>
          <w:lang w:val="nl-NL"/>
        </w:rPr>
      </w:r>
    </w:p>
    <w:p>
      <w:pPr>
        <w:pStyle w:val="T1"/>
        <w:jc w:val="start"/>
        <w:rPr/>
      </w:pPr>
      <w:r>
        <w:rPr/>
        <w:t>Orgelmakerij Bakker &amp; Timmenga 1994</w:t>
      </w:r>
    </w:p>
    <w:p>
      <w:pPr>
        <w:pStyle w:val="T1"/>
        <w:numPr>
          <w:ilvl w:val="0"/>
          <w:numId w:val="2"/>
        </w:numPr>
        <w:jc w:val="start"/>
        <w:rPr>
          <w:lang w:val="nl-NL"/>
        </w:rPr>
      </w:pPr>
      <w:r>
        <w:rPr>
          <w:lang w:val="nl-NL"/>
        </w:rPr>
        <w:t>orgel geplaatst in Doopsgezinde Kerk Edam</w:t>
      </w:r>
    </w:p>
    <w:p>
      <w:pPr>
        <w:pStyle w:val="T1"/>
        <w:numPr>
          <w:ilvl w:val="0"/>
          <w:numId w:val="2"/>
        </w:numPr>
        <w:jc w:val="start"/>
        <w:rPr>
          <w:lang w:val="nl-NL"/>
        </w:rPr>
      </w:pPr>
      <w:r>
        <w:rPr>
          <w:lang w:val="nl-NL"/>
        </w:rPr>
        <w:t>windlade aan weerskanten van de slepen van ringen voorzien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tc>
        <w:tc>
          <w:tcPr>
            <w:tcW w:w="76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(1903)</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pPr>
      <w:r>
        <w:rPr/>
        <w:t xml:space="preserve">De frontpijpen zijn van metaal met een hoog tingehalte. </w:t>
      </w:r>
      <w:r>
        <w:rPr>
          <w:lang w:val="nl-NL"/>
        </w:rPr>
        <w:t>Sprekend zijn de pijpen in de drie torens (op één pijp in de middentoren na), aangesloten als c-g</w:t>
      </w:r>
      <w:r>
        <w:rPr>
          <w:vertAlign w:val="superscript"/>
          <w:lang w:val="nl-NL"/>
        </w:rPr>
        <w:t>1</w:t>
      </w:r>
      <w:r>
        <w:rPr>
          <w:lang w:val="nl-NL"/>
        </w:rPr>
        <w:t xml:space="preserve"> van de Prestant 8'.</w:t>
      </w:r>
    </w:p>
    <w:p>
      <w:pPr>
        <w:pStyle w:val="T1"/>
        <w:jc w:val="start"/>
        <w:rPr/>
      </w:pPr>
      <w:r>
        <w:rPr/>
        <w:t>Het windtoestel is in de onderkas geplaatst.</w:t>
      </w:r>
    </w:p>
    <w:p>
      <w:pPr>
        <w:pStyle w:val="T1"/>
        <w:jc w:val="start"/>
        <w:rPr/>
      </w:pPr>
      <w:r>
        <w:rPr/>
        <w:t>Het handklavier is een eiken staartklavier, de ondertoetsen zijn belegd met celluloid.</w:t>
      </w:r>
    </w:p>
    <w:p>
      <w:pPr>
        <w:pStyle w:val="T1"/>
        <w:jc w:val="start"/>
        <w:rPr>
          <w:lang w:val="nl-NL"/>
        </w:rPr>
      </w:pPr>
      <w:r>
        <w:rPr>
          <w:lang w:val="nl-NL"/>
        </w:rPr>
        <w:t>De registerknoppen zijn boven de lessenaar geplaatst, ze zijn voorzien van witte porseleinen naamplaatjes. Het eiken pedaalklavier heeft korte boventoetsen van gelijke lengte.</w:t>
      </w:r>
    </w:p>
    <w:p>
      <w:pPr>
        <w:pStyle w:val="T1"/>
        <w:jc w:val="start"/>
        <w:rPr/>
      </w:pPr>
      <w:r>
        <w:rPr>
          <w:lang w:val="nl-NL"/>
        </w:rPr>
        <w:t>Van de windlade zijn het cancellenraam en de ventielkast van eiken, stokken en roosters zijn van mahonie. De cancelvolgorde is in hele tonen: e</w:t>
      </w:r>
      <w:r>
        <w:rPr>
          <w:vertAlign w:val="superscript"/>
          <w:lang w:val="nl-NL"/>
        </w:rPr>
        <w:t>3</w:t>
      </w:r>
      <w:r>
        <w:rPr>
          <w:lang w:val="nl-NL"/>
        </w:rPr>
        <w:t>-C Cis-f</w:t>
      </w:r>
      <w:r>
        <w:rPr>
          <w:vertAlign w:val="superscript"/>
          <w:lang w:val="nl-NL"/>
        </w:rPr>
        <w:t>3</w:t>
      </w:r>
      <w:r>
        <w:rPr>
          <w:lang w:val="nl-NL"/>
        </w:rPr>
        <w:t>.</w:t>
      </w:r>
    </w:p>
    <w:p>
      <w:pPr>
        <w:pStyle w:val="T1"/>
        <w:jc w:val="start"/>
        <w:rPr/>
      </w:pPr>
      <w:r>
        <w:rPr>
          <w:lang w:val="nl-NL"/>
        </w:rPr>
        <w:t>De houten pijpen zijn van oregonpine, de metalen binnenpijpen zijn toegeleverd en hebben geperste labia. De Prestant 8' en de Bourdon 8' hebben gedekte houten pijpen voor C-H. De Viola di Gamba is van C-H gecombineerd met de Bourdon. De Roerfluit 4' heeft conische open pijpen vanaf fis</w:t>
      </w:r>
      <w:r>
        <w:rPr>
          <w:vertAlign w:val="superscript"/>
          <w:lang w:val="nl-NL"/>
        </w:rPr>
        <w:t>2</w:t>
      </w:r>
      <w:r>
        <w:rPr>
          <w:lang w:val="nl-NL"/>
        </w:rPr>
        <w:t>.</w:t>
      </w:r>
    </w:p>
    <w:p>
      <w:pPr>
        <w:pStyle w:val="T1"/>
        <w:jc w:val="start"/>
        <w:rPr/>
      </w:pPr>
      <w:r>
        <w:rPr>
          <w:lang w:val="nl-NL"/>
        </w:rPr>
        <w:t>Expressions zijn toegepast bij alle pijpen van de Viola di Gamba, bij c-f</w:t>
      </w:r>
      <w:r>
        <w:rPr>
          <w:vertAlign w:val="superscript"/>
          <w:lang w:val="nl-NL"/>
        </w:rPr>
        <w:t>3</w:t>
      </w:r>
      <w:r>
        <w:rPr>
          <w:lang w:val="nl-NL"/>
        </w:rPr>
        <w:t xml:space="preserve"> van de Prestant 8', bij de Octaaf 4' (C-dis</w:t>
      </w:r>
      <w:r>
        <w:rPr>
          <w:vertAlign w:val="superscript"/>
          <w:lang w:val="nl-NL"/>
        </w:rPr>
        <w:t>2</w:t>
      </w:r>
      <w:r>
        <w:rPr>
          <w:lang w:val="nl-NL"/>
        </w:rPr>
        <w:t>) en bij de Octaaf 2' (C-f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2008-02-27T20:59:00Z</dcterms:created>
  <dc:creator>WS1</dc:creator>
  <dc:description/>
  <dc:language>en-US</dc:language>
  <cp:lastModifiedBy>NIvO</cp:lastModifiedBy>
  <dcterms:modified xsi:type="dcterms:W3CDTF">2009-10-27T09:23:00Z</dcterms:modified>
  <cp:revision>9</cp:revision>
  <dc:subject/>
  <dc:title>Niekerk (Hunsingo) / 1883</dc:title>
</cp:coreProperties>
</file>