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Eernewoude (Earnew</w:t>
      </w:r>
      <w:r>
        <w:rPr>
          <w:rFonts w:cs="Arial"/>
        </w:rPr>
        <w:t>â</w:t>
      </w:r>
      <w:r>
        <w:rPr/>
        <w:t>ld) / 1907</w:t>
      </w:r>
    </w:p>
    <w:p>
      <w:pPr>
        <w:pStyle w:val="Heading2"/>
        <w:rPr>
          <w:i w:val="false"/>
          <w:i w:val="false"/>
          <w:iCs/>
        </w:rPr>
      </w:pPr>
      <w:r>
        <w:rPr>
          <w:i w:val="false"/>
          <w:iCs/>
        </w:rPr>
        <w:t>Gereformeerde Kerk</w:t>
      </w:r>
    </w:p>
    <w:p>
      <w:pPr>
        <w:pStyle w:val="T1"/>
        <w:rPr>
          <w:i/>
          <w:i/>
          <w:iCs/>
          <w:lang w:val="nl-NL"/>
        </w:rPr>
      </w:pPr>
      <w:r>
        <w:rPr>
          <w:i/>
          <w:iCs/>
          <w:lang w:val="nl-NL"/>
        </w:rPr>
      </w:r>
    </w:p>
    <w:p>
      <w:pPr>
        <w:pStyle w:val="T1"/>
        <w:jc w:val="start"/>
        <w:rPr>
          <w:i/>
          <w:i/>
          <w:iCs/>
          <w:lang w:val="nl-NL"/>
        </w:rPr>
      </w:pPr>
      <w:r>
        <w:rPr>
          <w:i/>
          <w:iCs/>
          <w:lang w:val="nl-NL"/>
        </w:rPr>
        <w:t>Zaalkerk gebouwd in 1906 met rondboogvensters en korte lagere dwarsbeukjes. Kleine stenen geveltoren, bekroond door piramidevormig spitsje. Interieur gewijzigd in 1951. Bij een verandering van het interieur in 1992 is de kansel uit de bouwtijd vervangen door een kansel in de vorm van een boeg van een skûtsje.</w:t>
      </w:r>
    </w:p>
    <w:p>
      <w:pPr>
        <w:pStyle w:val="T1"/>
        <w:rPr>
          <w:i/>
          <w:i/>
          <w:iCs/>
          <w:lang w:val="nl-NL"/>
        </w:rPr>
      </w:pPr>
      <w:r>
        <w:rPr>
          <w:i/>
          <w:iCs/>
          <w:lang w:val="nl-NL"/>
        </w:rPr>
      </w:r>
    </w:p>
    <w:p>
      <w:pPr>
        <w:pStyle w:val="T1"/>
        <w:rPr>
          <w:lang w:val="nl-NL"/>
        </w:rPr>
      </w:pPr>
      <w:r>
        <w:rPr>
          <w:lang w:val="nl-NL"/>
        </w:rPr>
        <w:t>Kas: 1907</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Bekend front in het werk van orgelmakers in de beginjaren van de 20e eeuw. Slanke ronde torens van vijf pijpen en vlakke ongedeelde velden. In plaats van gesneden blinderingen zijn eenvoudige uitgezaagde vullingen aangebracht. In de torens ontbreken deze bij de pijpvoeten.</w:t>
      </w:r>
    </w:p>
    <w:p>
      <w:pPr>
        <w:pStyle w:val="T2Kunst"/>
        <w:jc w:val="start"/>
        <w:rPr>
          <w:lang w:val="nl-NL"/>
        </w:rPr>
      </w:pPr>
      <w:r>
        <w:rPr>
          <w:lang w:val="nl-NL"/>
        </w:rPr>
        <w:t>De vormen van de omlijsting van de verhoogd geplaatste tussenvelden verschaffen het front identiteit. Zo men wil, kan er invloed vanuit de Jugendstil aan worden toegeschreven. Ook de expressieve vorm van de vleugels, die veel voorkomt bij dit type front, is in hoofdzaak zonder steekwerk uitgevoerd.</w:t>
      </w:r>
    </w:p>
    <w:p>
      <w:pPr>
        <w:pStyle w:val="T2Kunst"/>
        <w:jc w:val="start"/>
        <w:rPr>
          <w:lang w:val="nl-NL"/>
        </w:rPr>
      </w:pPr>
      <w:r>
        <w:rPr>
          <w:lang w:val="nl-NL"/>
        </w:rPr>
        <w:t>Het front was vroeger in donkerder kleuren geschilderd, waarbij enkele elementen van contrasterende kleur of vergulding waren voorzien.</w:t>
      </w:r>
    </w:p>
    <w:p>
      <w:pPr>
        <w:pStyle w:val="T2Kunst"/>
        <w:jc w:val="start"/>
        <w:rPr>
          <w:lang w:val="nl-NL"/>
        </w:rPr>
      </w:pPr>
      <w:r>
        <w:rPr>
          <w:lang w:val="nl-NL"/>
        </w:rPr>
      </w:r>
    </w:p>
    <w:p>
      <w:pPr>
        <w:pStyle w:val="T3Lit"/>
        <w:jc w:val="start"/>
        <w:rPr/>
      </w:pPr>
      <w:r>
        <w:rPr/>
        <w:t>Literatuur</w:t>
      </w:r>
    </w:p>
    <w:p>
      <w:pPr>
        <w:pStyle w:val="T3Lit"/>
        <w:rPr/>
      </w:pPr>
      <w:r>
        <w:rPr>
          <w:b w:val="false"/>
        </w:rPr>
        <w:t xml:space="preserve">Jan Jongepier, </w:t>
      </w:r>
      <w:r>
        <w:rPr>
          <w:b w:val="false"/>
          <w:i/>
        </w:rPr>
        <w:t>Vijf eeuwen Friese orgelbouw.</w:t>
      </w:r>
      <w:r>
        <w:rPr>
          <w:b w:val="false"/>
        </w:rPr>
        <w:t xml:space="preserve"> Leeuwarden, 2004, 184.</w:t>
      </w:r>
    </w:p>
    <w:p>
      <w:pPr>
        <w:pStyle w:val="T3Lit"/>
        <w:jc w:val="start"/>
        <w:rPr/>
      </w:pPr>
      <w:r>
        <w:rPr>
          <w:b w:val="false"/>
          <w:bCs w:val="false"/>
          <w:i/>
          <w:iCs/>
        </w:rPr>
        <w:t>Organist &amp; Eredienst</w:t>
      </w:r>
      <w:r>
        <w:rPr>
          <w:b w:val="false"/>
          <w:bCs w:val="false"/>
          <w:iCs/>
        </w:rPr>
        <w:t xml:space="preserve">, 19/201 (1953), </w:t>
      </w:r>
      <w:r>
        <w:rPr>
          <w:b w:val="false"/>
          <w:bCs w:val="false"/>
        </w:rPr>
        <w:t xml:space="preserve"> .</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6-7.</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jc w:val="start"/>
        <w:rPr>
          <w:b w:val="false"/>
          <w:b w:val="false"/>
          <w:bCs w:val="false"/>
        </w:rPr>
      </w:pPr>
      <w:r>
        <w:rPr>
          <w:b w:val="false"/>
          <w:bCs w:val="false"/>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w:t>
      </w:r>
    </w:p>
    <w:p>
      <w:pPr>
        <w:pStyle w:val="T1"/>
        <w:rPr>
          <w:rFonts w:ascii="Times" w:hAnsi="Times" w:cs="Times"/>
          <w:lang w:val="nl-NL"/>
        </w:rPr>
      </w:pPr>
      <w:r>
        <w:rPr>
          <w:rFonts w:cs="Times" w:ascii="Times" w:hAnsi="Times"/>
          <w:lang w:val="nl-NL"/>
        </w:rPr>
        <w:t>J. Proper</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Jaar van oplevering</w:t>
      </w:r>
    </w:p>
    <w:p>
      <w:pPr>
        <w:pStyle w:val="T1"/>
        <w:rPr>
          <w:rFonts w:ascii="Times" w:hAnsi="Times" w:cs="Times"/>
          <w:lang w:val="nl-NL"/>
        </w:rPr>
      </w:pPr>
      <w:r>
        <w:rPr>
          <w:rFonts w:cs="Times" w:ascii="Times" w:hAnsi="Times"/>
          <w:lang w:val="nl-NL"/>
        </w:rPr>
        <w:t>1907</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Oorspronkelijke locatie</w:t>
      </w:r>
    </w:p>
    <w:p>
      <w:pPr>
        <w:pStyle w:val="T1"/>
        <w:rPr>
          <w:rFonts w:ascii="Times" w:hAnsi="Times" w:cs="Times"/>
          <w:lang w:val="nl-NL"/>
        </w:rPr>
      </w:pPr>
      <w:r>
        <w:rPr>
          <w:rFonts w:cs="Times" w:ascii="Times" w:hAnsi="Times"/>
          <w:lang w:val="nl-NL"/>
        </w:rPr>
        <w:t>Heemse, Gereformeerde Kerk</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R. Kamp 1952</w:t>
      </w:r>
    </w:p>
    <w:p>
      <w:pPr>
        <w:pStyle w:val="T1"/>
        <w:numPr>
          <w:ilvl w:val="0"/>
          <w:numId w:val="2"/>
        </w:numPr>
        <w:rPr>
          <w:rFonts w:ascii="Times" w:hAnsi="Times" w:cs="Times"/>
          <w:lang w:val="nl-NL"/>
        </w:rPr>
      </w:pPr>
      <w:r>
        <w:rPr>
          <w:rFonts w:cs="Times" w:ascii="Times" w:hAnsi="Times"/>
          <w:lang w:val="nl-NL"/>
        </w:rPr>
        <w:t>orgel gerestaureerd en geplaatst te Eernewoude, Gereformeerde Kerk</w:t>
      </w:r>
    </w:p>
    <w:p>
      <w:pPr>
        <w:pStyle w:val="T1"/>
        <w:numPr>
          <w:ilvl w:val="0"/>
          <w:numId w:val="2"/>
        </w:numPr>
        <w:rPr>
          <w:rFonts w:ascii="Times" w:hAnsi="Times" w:cs="Times"/>
          <w:lang w:val="nl-NL"/>
        </w:rPr>
      </w:pPr>
      <w:r>
        <w:rPr>
          <w:rFonts w:cs="Times" w:ascii="Times" w:hAnsi="Times"/>
          <w:lang w:val="nl-NL"/>
        </w:rPr>
        <w:t>dispositie gewijzigd</w:t>
      </w:r>
    </w:p>
    <w:p>
      <w:pPr>
        <w:pStyle w:val="T1"/>
        <w:rPr>
          <w:rFonts w:ascii="Times" w:hAnsi="Times" w:cs="Times"/>
          <w:lang w:val="nl-NL"/>
        </w:rPr>
      </w:pPr>
      <w:r>
        <w:rPr>
          <w:rFonts w:cs="Times" w:ascii="Times" w:hAnsi="Times"/>
          <w:lang w:val="nl-NL"/>
        </w:rPr>
      </w:r>
    </w:p>
    <w:p>
      <w:pPr>
        <w:pStyle w:val="T1"/>
        <w:rPr/>
      </w:pPr>
      <w:r>
        <w:rPr/>
        <w:t>Dispositie na 1952</w:t>
      </w:r>
    </w:p>
    <w:tbl>
      <w:tblPr>
        <w:tblW w:w="3490" w:type="dxa"/>
        <w:jc w:val="start"/>
        <w:tblInd w:w="-70" w:type="dxa"/>
        <w:tblLayout w:type="fixed"/>
        <w:tblCellMar>
          <w:top w:w="0" w:type="dxa"/>
          <w:start w:w="70" w:type="dxa"/>
          <w:bottom w:w="0" w:type="dxa"/>
          <w:end w:w="70" w:type="dxa"/>
        </w:tblCellMar>
      </w:tblPr>
      <w:tblGrid>
        <w:gridCol w:w="1330"/>
        <w:gridCol w:w="720"/>
        <w:gridCol w:w="72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tc>
        <w:tc>
          <w:tcPr>
            <w:tcW w:w="720" w:type="dxa"/>
            <w:tcBorders/>
          </w:tcPr>
          <w:p>
            <w:pPr>
              <w:pStyle w:val="T4dispositie"/>
              <w:rPr>
                <w:lang w:val="nl-NL"/>
              </w:rPr>
            </w:pPr>
            <w:r>
              <w:rPr>
                <w:i/>
                <w:lang w:val="nl-NL"/>
              </w:rPr>
              <w:t>Pedaal</w:t>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super octaafkoppel, pedaalkoppel</w:t>
      </w:r>
    </w:p>
    <w:p>
      <w:pPr>
        <w:pStyle w:val="T1"/>
        <w:jc w:val="start"/>
        <w:rPr>
          <w:lang w:val="nl-NL"/>
        </w:rPr>
      </w:pPr>
      <w:r>
        <w:rPr>
          <w:lang w:val="nl-NL"/>
        </w:rPr>
      </w:r>
    </w:p>
    <w:p>
      <w:pPr>
        <w:pStyle w:val="T1"/>
        <w:jc w:val="start"/>
        <w:rPr>
          <w:lang w:val="nl-NL"/>
        </w:rPr>
      </w:pPr>
      <w:r>
        <w:rPr>
          <w:lang w:val="nl-NL"/>
        </w:rPr>
        <w:t>S. Haarsma 1979</w:t>
      </w:r>
    </w:p>
    <w:p>
      <w:pPr>
        <w:pStyle w:val="T1"/>
        <w:numPr>
          <w:ilvl w:val="0"/>
          <w:numId w:val="3"/>
        </w:numPr>
        <w:jc w:val="start"/>
        <w:rPr>
          <w:lang w:val="nl-NL"/>
        </w:rPr>
      </w:pPr>
      <w:r>
        <w:rPr>
          <w:lang w:val="nl-NL"/>
        </w:rPr>
        <w:t>orgel hersteld, gewijzigd en uitgebreid</w:t>
      </w:r>
    </w:p>
    <w:p>
      <w:pPr>
        <w:pStyle w:val="T1"/>
        <w:numPr>
          <w:ilvl w:val="0"/>
          <w:numId w:val="3"/>
        </w:numPr>
        <w:jc w:val="start"/>
        <w:rPr>
          <w:lang w:val="nl-NL"/>
        </w:rPr>
      </w:pPr>
      <w:r>
        <w:rPr>
          <w:lang w:val="nl-NL"/>
        </w:rPr>
        <w:t>bestaande lade en tractuur vervangen door sleeplade met mechanische tractuur</w:t>
      </w:r>
    </w:p>
    <w:p>
      <w:pPr>
        <w:pStyle w:val="T1"/>
        <w:jc w:val="start"/>
        <w:rPr>
          <w:lang w:val="nl-NL"/>
        </w:rPr>
      </w:pPr>
      <w:r>
        <w:rPr>
          <w:lang w:val="nl-NL"/>
        </w:rPr>
      </w:r>
    </w:p>
    <w:p>
      <w:pPr>
        <w:pStyle w:val="T1"/>
        <w:jc w:val="start"/>
        <w:rPr>
          <w:lang w:val="nl-NL"/>
        </w:rPr>
      </w:pPr>
      <w:r>
        <w:rPr>
          <w:lang w:val="nl-NL"/>
        </w:rPr>
        <w:t>S. Haarsma 2002</w:t>
      </w:r>
    </w:p>
    <w:p>
      <w:pPr>
        <w:pStyle w:val="T1"/>
        <w:numPr>
          <w:ilvl w:val="0"/>
          <w:numId w:val="4"/>
        </w:numPr>
        <w:jc w:val="start"/>
        <w:rPr>
          <w:lang w:val="nl-NL"/>
        </w:rPr>
      </w:pPr>
      <w:r>
        <w:rPr>
          <w:lang w:val="nl-NL"/>
        </w:rPr>
        <w:t>+ Trompet B/D 8' op kantsleep</w:t>
      </w:r>
    </w:p>
    <w:p>
      <w:pPr>
        <w:pStyle w:val="T1"/>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pedaal</w:t>
      </w:r>
    </w:p>
    <w:p>
      <w:pPr>
        <w:pStyle w:val="T1"/>
        <w:rPr>
          <w:lang w:val="nl-NL"/>
        </w:rPr>
      </w:pPr>
      <w:r>
        <w:rPr>
          <w:lang w:val="nl-NL"/>
        </w:rPr>
      </w:r>
    </w:p>
    <w:p>
      <w:pPr>
        <w:pStyle w:val="T1"/>
        <w:rPr/>
      </w:pPr>
      <w:r>
        <w:rPr/>
        <w:t>Dispositie</w:t>
      </w:r>
    </w:p>
    <w:tbl>
      <w:tblPr>
        <w:tblW w:w="4441" w:type="dxa"/>
        <w:jc w:val="start"/>
        <w:tblInd w:w="-70" w:type="dxa"/>
        <w:tblLayout w:type="fixed"/>
        <w:tblCellMar>
          <w:top w:w="0" w:type="dxa"/>
          <w:start w:w="70" w:type="dxa"/>
          <w:bottom w:w="0" w:type="dxa"/>
          <w:end w:w="70" w:type="dxa"/>
        </w:tblCellMar>
      </w:tblPr>
      <w:tblGrid>
        <w:gridCol w:w="1510"/>
        <w:gridCol w:w="900"/>
        <w:gridCol w:w="1643"/>
        <w:gridCol w:w="388"/>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Viool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 [D]</w:t>
            </w:r>
          </w:p>
          <w:p>
            <w:pPr>
              <w:pStyle w:val="T4dispositie"/>
              <w:rPr>
                <w:lang w:val="nl-NL"/>
              </w:rPr>
            </w:pPr>
            <w:r>
              <w:rPr>
                <w:lang w:val="nl-NL"/>
              </w:rPr>
              <w:t>Octaaf</w:t>
            </w:r>
          </w:p>
          <w:p>
            <w:pPr>
              <w:pStyle w:val="T4dispositie"/>
              <w:rPr>
                <w:lang w:val="nl-NL"/>
              </w:rPr>
            </w:pPr>
            <w:r>
              <w:rPr>
                <w:lang w:val="nl-NL"/>
              </w:rPr>
              <w:t>Terts D</w:t>
            </w:r>
          </w:p>
          <w:p>
            <w:pPr>
              <w:pStyle w:val="T4dispositie"/>
              <w:rPr>
                <w:lang w:val="nl-NL"/>
              </w:rPr>
            </w:pPr>
            <w:r>
              <w:rPr>
                <w:lang w:val="nl-NL"/>
              </w:rPr>
              <w:t>Mixtuur</w:t>
            </w:r>
          </w:p>
          <w:p>
            <w:pPr>
              <w:pStyle w:val="T4dispositie"/>
              <w:rPr>
                <w:lang w:val="nl-NL"/>
              </w:rPr>
            </w:pPr>
            <w:r>
              <w:rPr>
                <w:lang w:val="nl-NL"/>
              </w:rPr>
              <w:t>Trompet B/D</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3 st.*</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 in werkelijkheid 2-3 st.</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In de publicatie over de werkzaamheden van 1952 is sprake van zowel een sleeplade als een kegellade in de situatie te Heemse, en de ombouw tot pneumatisch kegellade-orgel tijdens de levering aan Eernewoude.</w:t>
      </w:r>
    </w:p>
    <w:p>
      <w:pPr>
        <w:pStyle w:val="T1"/>
        <w:jc w:val="start"/>
        <w:rPr>
          <w:lang w:val="nl-NL"/>
        </w:rPr>
      </w:pPr>
      <w:r>
        <w:rPr>
          <w:lang w:val="nl-NL"/>
        </w:rPr>
        <w:t>Alle onderdelen van klaviatuur, windlade, mechanieken en windvoorziening dateren uit 1979. De frontpijpen zijn van zink.</w:t>
      </w:r>
    </w:p>
    <w:p>
      <w:pPr>
        <w:pStyle w:val="T1"/>
        <w:jc w:val="start"/>
        <w:rPr>
          <w:lang w:val="nl-NL"/>
        </w:rPr>
      </w:pPr>
      <w:r>
        <w:rPr>
          <w:lang w:val="nl-NL"/>
        </w:rPr>
        <w:t>Het pijpwerk is van diverse herkomst en leeftijd. Het oudst lijken de binnenpijpen van de Prestant 8', de Holpijp 8' en de Fluit 4'. Het pijpwerk van Viool 8', Octaaf 4' (C-h zink), Octaaf 2' en Quint 2 2/3' (alleen discant) heeft geperste labia en zal uit 1907 dateren. Het overige labiaalpijpwerk is niet zo oud, waarschijnlijk uit 1979.</w:t>
      </w:r>
    </w:p>
    <w:p>
      <w:pPr>
        <w:pStyle w:val="T1"/>
        <w:jc w:val="start"/>
        <w:rPr/>
      </w:pPr>
      <w:r>
        <w:rPr>
          <w:lang w:val="nl-NL"/>
        </w:rPr>
        <w:t>De Holpijp 8' heeft houten pijpen in de bas; bij de Fluit 4' is dat ook het geval. Vanaf f</w:t>
      </w:r>
      <w:r>
        <w:rPr>
          <w:vertAlign w:val="superscript"/>
          <w:lang w:val="nl-NL"/>
        </w:rPr>
        <w:t>1</w:t>
      </w:r>
      <w:r>
        <w:rPr>
          <w:lang w:val="nl-NL"/>
        </w:rPr>
        <w:t xml:space="preserve"> is de Fluit 4' open, conisch. De Viool 8' is van C-H gecombineerd met de Holpijp. De in 2002 geleverde Trompet heeft metalen stevels van gelijke hoogte en loden koppen. De bekers zijn voorzien van slitsen; vanaf c</w:t>
      </w:r>
      <w:r>
        <w:rPr>
          <w:vertAlign w:val="superscript"/>
          <w:lang w:val="nl-NL"/>
        </w:rPr>
        <w:t>3</w:t>
      </w:r>
      <w:r>
        <w:rPr>
          <w:lang w:val="nl-NL"/>
        </w:rPr>
        <w:t xml:space="preserve"> hebben de bekers dubbele lengte. Het register is ouder dan 2002.</w:t>
      </w:r>
    </w:p>
    <w:p>
      <w:pPr>
        <w:pStyle w:val="T1"/>
        <w:jc w:val="start"/>
        <w:rPr>
          <w:lang w:val="nl-NL"/>
        </w:rPr>
      </w:pPr>
      <w:r>
        <w:rPr>
          <w:lang w:val="nl-NL"/>
        </w:rPr>
        <w:t>Van de Subbas 16' staan de pijpen voor C-G buiten de kas tegen de linker zijwand opgesteld.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2008-02-27T13:39:00Z</dcterms:created>
  <dc:creator>WS1</dc:creator>
  <dc:description/>
  <dc:language>en-US</dc:language>
  <cp:lastModifiedBy>NIvO</cp:lastModifiedBy>
  <dcterms:modified xsi:type="dcterms:W3CDTF">2009-09-28T14:04:00Z</dcterms:modified>
  <cp:revision>13</cp:revision>
  <dc:subject/>
  <dc:title>Schagen / 1879</dc:title>
</cp:coreProperties>
</file>