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Eindhoven / ca 1905</w:t>
      </w:r>
    </w:p>
    <w:p>
      <w:pPr>
        <w:pStyle w:val="Heading2"/>
        <w:rPr>
          <w:i w:val="false"/>
          <w:i w:val="false"/>
          <w:iCs/>
        </w:rPr>
      </w:pPr>
      <w:r>
        <w:rPr>
          <w:i w:val="false"/>
          <w:iCs/>
        </w:rPr>
        <w:t>Kronehoef</w:t>
      </w:r>
    </w:p>
    <w:p>
      <w:pPr>
        <w:pStyle w:val="T1"/>
        <w:jc w:val="start"/>
        <w:rPr>
          <w:i/>
          <w:i/>
          <w:iCs/>
          <w:lang w:val="nl-NL"/>
        </w:rPr>
      </w:pPr>
      <w:r>
        <w:rPr>
          <w:i/>
          <w:iCs/>
          <w:lang w:val="nl-NL"/>
        </w:rPr>
      </w:r>
    </w:p>
    <w:p>
      <w:pPr>
        <w:pStyle w:val="T1"/>
        <w:jc w:val="start"/>
        <w:rPr>
          <w:i/>
          <w:i/>
          <w:iCs/>
          <w:lang w:val="nl-NL"/>
        </w:rPr>
      </w:pPr>
      <w:r>
        <w:rPr>
          <w:i/>
          <w:iCs/>
          <w:lang w:val="nl-NL"/>
        </w:rPr>
        <w:t>Kapel uit 1902.</w:t>
      </w:r>
    </w:p>
    <w:p>
      <w:pPr>
        <w:pStyle w:val="T1"/>
        <w:jc w:val="start"/>
        <w:rPr>
          <w:i/>
          <w:i/>
          <w:iCs/>
          <w:lang w:val="nl-NL"/>
        </w:rPr>
      </w:pPr>
      <w:r>
        <w:rPr>
          <w:i/>
          <w:iCs/>
          <w:lang w:val="nl-NL"/>
        </w:rPr>
      </w:r>
    </w:p>
    <w:p>
      <w:pPr>
        <w:pStyle w:val="T1"/>
        <w:jc w:val="start"/>
        <w:rPr>
          <w:lang w:val="nl-NL"/>
        </w:rPr>
      </w:pPr>
      <w:r>
        <w:rPr>
          <w:lang w:val="nl-NL"/>
        </w:rPr>
        <w:t>Kas: ca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blokvormige kas met vier pijpvelden. Twee smalle hoge pijpvelden in het midden worden beide afgesloten met een spitsboog, die in het midden wordt gedragen door een zuiltje met Corinthisch kapiteel. Deze twee velden worden bijeengebracht door een wimberg, die is opengewerkt, en van achteren bespannen met doek. In de punt van de wimberg zien we een gotische vierpas, de schouders van de wimberg zijn opgevuld met een boogfries. Ook de bredere zijvelden staan in een spitsboog en hier zijn de zwikken gevuld met gotische driehoeken. Aan de bovenzijde van de kas is een kanteellijst aangebracht, op de hoeken afgewisseld met kleine kanteeltorens.</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271, 333.</w:t>
      </w:r>
    </w:p>
    <w:p>
      <w:pPr>
        <w:pStyle w:val="T3Lit"/>
        <w:rPr>
          <w:lang w:val="nl-NL"/>
        </w:rPr>
      </w:pPr>
      <w:r>
        <w:rPr>
          <w:lang w:val="nl-NL"/>
        </w:rPr>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onbekend, mogelijk Gebr. Smits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mogelijk Schijndel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geplaatst te Eindhoven-Woensel, klooster Zusters van Liefde aan de Kloosterdreef (thans woonzorgcentrum Kronehoef)</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982" w:type="dxa"/>
        <w:jc w:val="start"/>
        <w:tblInd w:w="-70" w:type="dxa"/>
        <w:tblLayout w:type="fixed"/>
        <w:tblCellMar>
          <w:top w:w="0" w:type="dxa"/>
          <w:start w:w="70" w:type="dxa"/>
          <w:bottom w:w="0" w:type="dxa"/>
          <w:end w:w="70" w:type="dxa"/>
        </w:tblCellMar>
      </w:tblPr>
      <w:tblGrid>
        <w:gridCol w:w="1471"/>
        <w:gridCol w:w="837"/>
        <w:gridCol w:w="837"/>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Salicet</w:t>
            </w:r>
          </w:p>
          <w:p>
            <w:pPr>
              <w:pStyle w:val="T4dispositie"/>
              <w:jc w:val="start"/>
              <w:rPr>
                <w:lang w:val="nl-NL"/>
              </w:rPr>
            </w:pPr>
            <w:r>
              <w:rPr>
                <w:lang w:val="nl-NL"/>
              </w:rPr>
              <w:t>Fluit</w:t>
            </w:r>
          </w:p>
          <w:p>
            <w:pPr>
              <w:pStyle w:val="T4dispositie"/>
              <w:jc w:val="start"/>
              <w:rPr>
                <w:lang w:val="nl-NL"/>
              </w:rPr>
            </w:pPr>
            <w:r>
              <w:rPr>
                <w:lang w:val="nl-NL"/>
              </w:rPr>
              <w:t>Ruispijp</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st.</w:t>
            </w:r>
          </w:p>
        </w:tc>
        <w:tc>
          <w:tcPr>
            <w:tcW w:w="837"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octaafkoppel</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Samenstelling vulstem</w:t>
      </w:r>
    </w:p>
    <w:tbl>
      <w:tblPr>
        <w:tblW w:w="1450" w:type="dxa"/>
        <w:jc w:val="start"/>
        <w:tblInd w:w="-70" w:type="dxa"/>
        <w:tblLayout w:type="fixed"/>
        <w:tblCellMar>
          <w:top w:w="0" w:type="dxa"/>
          <w:start w:w="70" w:type="dxa"/>
          <w:bottom w:w="0" w:type="dxa"/>
          <w:end w:w="70" w:type="dxa"/>
        </w:tblCellMar>
      </w:tblPr>
      <w:tblGrid>
        <w:gridCol w:w="1047"/>
        <w:gridCol w:w="403"/>
      </w:tblGrid>
      <w:tr>
        <w:trPr/>
        <w:tc>
          <w:tcPr>
            <w:tcW w:w="1047" w:type="dxa"/>
            <w:tcBorders/>
          </w:tcPr>
          <w:p>
            <w:pPr>
              <w:pStyle w:val="T1"/>
              <w:jc w:val="start"/>
              <w:rPr>
                <w:lang w:val="nl-NL"/>
              </w:rPr>
            </w:pPr>
            <w:r>
              <w:rPr>
                <w:lang w:val="nl-NL"/>
              </w:rPr>
              <w:t>Ruispijp</w:t>
            </w:r>
          </w:p>
        </w:tc>
        <w:tc>
          <w:tcPr>
            <w:tcW w:w="403"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schepbalg (ca 1900)</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rechts naast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Het orgel heeft kegelladen met pneumatische tractuur.</w:t>
      </w:r>
    </w:p>
    <w:p>
      <w:pPr>
        <w:pStyle w:val="T1"/>
        <w:jc w:val="start"/>
        <w:rPr>
          <w:lang w:val="nl-NL"/>
        </w:rPr>
      </w:pPr>
      <w:r>
        <w:rPr>
          <w:lang w:val="nl-NL"/>
        </w:rPr>
        <w:t>Het front van het orgel bestaat uit vier velden met stomme zinken pijpen. De linkerzijwand is van triplex; de rechterzijwand bestaat uit een raamwerk met vier panelen, een achterwand is niet aanwezig. De gehele kas en de labia van de frontpijpen zijn geverfd in een bruine kleur.</w:t>
      </w:r>
    </w:p>
    <w:p>
      <w:pPr>
        <w:pStyle w:val="T1"/>
        <w:jc w:val="start"/>
        <w:rPr>
          <w:lang w:val="nl-NL"/>
        </w:rPr>
      </w:pPr>
      <w:r>
        <w:rPr>
          <w:lang w:val="nl-NL"/>
        </w:rPr>
        <w:t>In de onderkas bevindt zich een oude magazijnbalg met in- en uitspringende vouw en daaronder een schepbalg met sleutel.</w:t>
      </w:r>
    </w:p>
    <w:p>
      <w:pPr>
        <w:pStyle w:val="T1"/>
        <w:jc w:val="start"/>
        <w:rPr/>
      </w:pPr>
      <w:r>
        <w:rPr>
          <w:lang w:val="nl-NL"/>
        </w:rPr>
        <w:t>De speeltafelkast lijkt een oude harmoniumkast met klavier. Het klavierdeksel is vastgezet en boven de toetsen C-f</w:t>
      </w:r>
      <w:r>
        <w:rPr>
          <w:vertAlign w:val="superscript"/>
          <w:lang w:val="nl-NL"/>
        </w:rPr>
        <w:t>3</w:t>
      </w:r>
      <w:r>
        <w:rPr>
          <w:lang w:val="nl-NL"/>
        </w:rPr>
        <w:t xml:space="preserve"> uitgezaagd. De registerwippers boven het Manuaal hebben een vergrendeling. De windlade is ingedeeld in hele tonen vanuit het midden naar weerszijden aflopend. Vanaf het front staan daarop de volgende registers: Fluit 4', Ruispijp, Holpijp 8', Salicet 8'. De grenen Subbas 16' staat in de onderkas naast de balg tegen de achtermuur.</w:t>
      </w:r>
    </w:p>
    <w:p>
      <w:pPr>
        <w:pStyle w:val="T1"/>
        <w:jc w:val="start"/>
        <w:rPr/>
      </w:pPr>
      <w:r>
        <w:rPr>
          <w:lang w:val="nl-NL"/>
        </w:rPr>
        <w:t>C-h van de Fluit 4' zijn gedekt, het vervolg is open, conisch met opgeworpen labia. De Ruispijp bestaat uit fabriekspijpwerk met slagletters. De voetopeningen van het tweede koor zijn dichtgeplakt zodat er nu een doorlopende tweevoet klinkt. C-H van de Holpijp 8' zijn van grenen, het vervolg is van orgelmetaal, gedekt met zijbaarden en opgeworpen labia. De Salicet 8' heeft expressions, stemkrullen en zijbaarden. C-E zijn meervoudig verkropt; freins zijn aanwezig van C-c</w:t>
      </w:r>
      <w:r>
        <w:rPr>
          <w:vertAlign w:val="superscript"/>
          <w:lang w:val="nl-NL"/>
        </w:rPr>
        <w:t>1</w:t>
      </w:r>
      <w:r>
        <w:rPr>
          <w:lang w:val="nl-NL"/>
        </w:rPr>
        <w:t>. Het pijpwerk lijkt overwegend uit de tweede helft van de 19e eeuw te dateren.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altName w:val="MS Mincho"/>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MS Mincho" w:hAnsi="Arial Unicode MS;MS Mincho" w:eastAsia="Arial Unicode MS;MS Mincho" w:cs="Arial Unicode MS;MS Mincho"/>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2009-08-02T22:24:00Z</dcterms:created>
  <dc:creator>WS1</dc:creator>
  <dc:description/>
  <dc:language>en-US</dc:language>
  <cp:lastModifiedBy>Hans</cp:lastModifiedBy>
  <dcterms:modified xsi:type="dcterms:W3CDTF">2009-08-02T22:24:00Z</dcterms:modified>
  <cp:revision>2</cp:revision>
  <dc:subject/>
  <dc:title>Heumen / ca 1860</dc:title>
</cp:coreProperties>
</file>