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Folsgare (Folsgeare) / 1908</w:t>
      </w:r>
    </w:p>
    <w:p>
      <w:pPr>
        <w:pStyle w:val="Heading2"/>
        <w:ind w:start="0" w:end="0" w:hanging="0"/>
        <w:rPr>
          <w:i w:val="false"/>
          <w:i w:val="false"/>
          <w:iCs/>
        </w:rPr>
      </w:pPr>
      <w:r>
        <w:rPr>
          <w:i w:val="false"/>
          <w:iCs/>
        </w:rPr>
        <w:t>Hervormde Kerk</w:t>
      </w:r>
    </w:p>
    <w:p>
      <w:pPr>
        <w:pStyle w:val="T1"/>
        <w:rPr>
          <w:i/>
          <w:i/>
          <w:iCs/>
        </w:rPr>
      </w:pPr>
      <w:r>
        <w:rPr>
          <w:i/>
          <w:iCs/>
        </w:rPr>
      </w:r>
    </w:p>
    <w:p>
      <w:pPr>
        <w:pStyle w:val="T1"/>
        <w:jc w:val="start"/>
        <w:rPr>
          <w:i/>
          <w:i/>
          <w:iCs/>
          <w:lang w:val="nl-NL"/>
        </w:rPr>
      </w:pPr>
      <w:r>
        <w:rPr>
          <w:i/>
          <w:iCs/>
          <w:lang w:val="nl-NL"/>
        </w:rPr>
        <w:t>Driezijdig gesloten zaalkerk uit 1875 tegen een mogelijk 13e-eeuwse toren met zadeldak. Kansel uit de 17e eeuw.</w:t>
      </w:r>
    </w:p>
    <w:p>
      <w:pPr>
        <w:pStyle w:val="T1"/>
        <w:rPr>
          <w:i/>
          <w:i/>
          <w:iCs/>
          <w:lang w:val="nl-NL"/>
        </w:rPr>
      </w:pPr>
      <w:r>
        <w:rPr>
          <w:i/>
          <w:iCs/>
          <w:lang w:val="nl-NL"/>
        </w:rPr>
      </w:r>
    </w:p>
    <w:p>
      <w:pPr>
        <w:pStyle w:val="T1"/>
        <w:jc w:val="start"/>
        <w:rPr>
          <w:lang w:val="nl-NL"/>
        </w:rPr>
      </w:pPr>
      <w:r>
        <w:rPr>
          <w:lang w:val="nl-NL"/>
        </w:rPr>
        <w:t>Kas: 1908</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Een acht-voets variant van het bekende Bakker &amp; Timmenga-front dat in 1894 voor het eerst in het oeuvre van deze orgelmakers verscheen. De grotere breedtemaat is ontstaan door de maten van de grotere frontpijpen en de plaatsing van negen pijpen in de velden. Hierdoor kon een volledige Bourdon 16' worden gedisponeerd. De velden zijn vlak uitgevoerd, gescheiden door een brede lijst met licht gebogen onderkant, het labiumverloop van de veldpijpen is parallel.</w:t>
      </w:r>
    </w:p>
    <w:p>
      <w:pPr>
        <w:pStyle w:val="T2Kunst"/>
        <w:jc w:val="start"/>
        <w:rPr/>
      </w:pPr>
      <w:r>
        <w:rPr/>
        <w:t xml:space="preserve">De ornamenten volgen het voor dit fronttype vaste patroon: plantaardige motieven in de blinderingen, acanthusmotieven in de </w:t>
      </w:r>
      <w:r>
        <w:rPr>
          <w:i/>
          <w:iCs/>
        </w:rPr>
        <w:t>culs-de-lampe</w:t>
      </w:r>
      <w:r>
        <w:rPr/>
        <w:t>, opengewerkte opzetstukken op de torenkappen, waarbij de middentoren tevens een lier draagt.</w:t>
      </w:r>
    </w:p>
    <w:p>
      <w:pPr>
        <w:pStyle w:val="T2Kunst"/>
        <w:jc w:val="start"/>
        <w:rPr/>
      </w:pPr>
      <w:r>
        <w:rPr>
          <w:lang w:val="nl-NL"/>
        </w:rPr>
        <w:t xml:space="preserve">De vleugelstukken vertonen de bekende compositie van S- en C-voluutbanden, omrankt met wijnrank en vogeltje. </w:t>
      </w:r>
      <w:r>
        <w:rPr/>
        <w:t xml:space="preserve">Opmerkelijk is het kleurverschil tussen blinderingen en </w:t>
      </w:r>
      <w:r>
        <w:rPr>
          <w:i/>
          <w:iCs/>
        </w:rPr>
        <w:t>culs-de-lampe</w:t>
      </w:r>
      <w:r>
        <w:rPr/>
        <w:t xml:space="preserve"> enerzijds en opzetstukken met vleugels anderzijds.</w:t>
      </w:r>
    </w:p>
    <w:p>
      <w:pPr>
        <w:pStyle w:val="T1"/>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Jan Jongepier, </w:t>
      </w:r>
      <w:r>
        <w:rPr>
          <w:i/>
          <w:lang w:val="nl-NL"/>
        </w:rPr>
        <w:t>Vijf eeuwen Friese orgelbouw.</w:t>
      </w:r>
      <w:r>
        <w:rPr>
          <w:lang w:val="nl-NL"/>
        </w:rPr>
        <w:t xml:space="preserve"> Leeuwarden, 2004, 186.</w:t>
      </w:r>
    </w:p>
    <w:p>
      <w:pPr>
        <w:pStyle w:val="T3Lit"/>
        <w:rPr>
          <w:lang w:val="nl-NL"/>
        </w:rPr>
      </w:pPr>
      <w:r>
        <w:rPr>
          <w:lang w:val="nl-NL"/>
        </w:rPr>
      </w:r>
    </w:p>
    <w:p>
      <w:pPr>
        <w:pStyle w:val="T3Lit"/>
        <w:rPr>
          <w:b/>
          <w:b/>
          <w:bCs/>
        </w:rPr>
      </w:pPr>
      <w:r>
        <w:rPr>
          <w:b/>
          <w:bCs/>
        </w:rPr>
        <w:t>Niet gepubliceerde bron</w:t>
      </w:r>
    </w:p>
    <w:p>
      <w:pPr>
        <w:pStyle w:val="T3Lit"/>
        <w:rPr>
          <w:lang w:val="nl-NL"/>
        </w:rPr>
      </w:pPr>
      <w:r>
        <w:rPr>
          <w:lang w:val="nl-NL"/>
        </w:rPr>
        <w:t>Archief Orgelmakerij Bakker &amp; Timmenga, Leeuwarden, HCL.</w:t>
      </w:r>
    </w:p>
    <w:p>
      <w:pPr>
        <w:pStyle w:val="T3Lit"/>
        <w:jc w:val="start"/>
        <w:rPr>
          <w:lang w:val="nl-NL"/>
        </w:rPr>
      </w:pPr>
      <w:r>
        <w:rPr>
          <w:lang w:val="nl-NL"/>
        </w:rPr>
      </w:r>
    </w:p>
    <w:p>
      <w:pPr>
        <w:pStyle w:val="T3Lit"/>
        <w:jc w:val="start"/>
        <w:rPr>
          <w:lang w:val="nl-NL"/>
        </w:rPr>
      </w:pPr>
      <w:r>
        <w:rPr>
          <w:lang w:val="nl-NL"/>
        </w:rPr>
        <w:t>Monumentnummer 39762</w:t>
      </w:r>
    </w:p>
    <w:p>
      <w:pPr>
        <w:pStyle w:val="T3Lit"/>
        <w:jc w:val="start"/>
        <w:rPr>
          <w:lang w:val="nl-NL"/>
        </w:rPr>
      </w:pPr>
      <w:r>
        <w:rPr>
          <w:lang w:val="nl-NL"/>
        </w:rPr>
        <w:t>Orgelnummer 264</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1908</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Marrum, Gereformeerde Kerk</w:t>
      </w:r>
    </w:p>
    <w:p>
      <w:pPr>
        <w:pStyle w:val="T1"/>
        <w:jc w:val="start"/>
        <w:rPr>
          <w:lang w:val="nl-NL"/>
        </w:rPr>
      </w:pPr>
      <w:r>
        <w:rPr>
          <w:lang w:val="nl-NL"/>
        </w:rPr>
      </w:r>
    </w:p>
    <w:p>
      <w:pPr>
        <w:pStyle w:val="T1"/>
        <w:jc w:val="start"/>
        <w:rPr>
          <w:lang w:val="nl-NL"/>
        </w:rPr>
      </w:pPr>
      <w:r>
        <w:rPr>
          <w:lang w:val="nl-NL"/>
        </w:rPr>
        <w:t>Bakker &amp; Timmenga 1924</w:t>
      </w:r>
    </w:p>
    <w:p>
      <w:pPr>
        <w:pStyle w:val="T1"/>
        <w:numPr>
          <w:ilvl w:val="0"/>
          <w:numId w:val="2"/>
        </w:numPr>
        <w:jc w:val="start"/>
        <w:rPr>
          <w:lang w:val="nl-NL"/>
        </w:rPr>
      </w:pPr>
      <w:r>
        <w:rPr>
          <w:lang w:val="nl-NL"/>
        </w:rPr>
        <w:t>orgel overgeplaatst naar nieuw kerkgebouw</w:t>
      </w:r>
    </w:p>
    <w:p>
      <w:pPr>
        <w:pStyle w:val="T1"/>
        <w:numPr>
          <w:ilvl w:val="0"/>
          <w:numId w:val="2"/>
        </w:numPr>
        <w:jc w:val="start"/>
        <w:rPr>
          <w:lang w:val="nl-NL"/>
        </w:rPr>
      </w:pPr>
      <w:r>
        <w:rPr>
          <w:lang w:val="nl-NL"/>
        </w:rPr>
        <w:t>Holpijp van nieuwe hoeden voorzien</w:t>
      </w:r>
    </w:p>
    <w:p>
      <w:pPr>
        <w:pStyle w:val="T1"/>
        <w:jc w:val="start"/>
        <w:rPr>
          <w:lang w:val="nl-NL"/>
        </w:rPr>
      </w:pPr>
      <w:r>
        <w:rPr>
          <w:lang w:val="nl-NL"/>
        </w:rPr>
      </w:r>
    </w:p>
    <w:p>
      <w:pPr>
        <w:pStyle w:val="T1"/>
        <w:jc w:val="start"/>
        <w:rPr>
          <w:lang w:val="nl-NL"/>
        </w:rPr>
      </w:pPr>
      <w:r>
        <w:rPr>
          <w:lang w:val="nl-NL"/>
        </w:rPr>
        <w:t>Bakker &amp; Timmenga 1926</w:t>
      </w:r>
    </w:p>
    <w:p>
      <w:pPr>
        <w:pStyle w:val="T1"/>
        <w:numPr>
          <w:ilvl w:val="0"/>
          <w:numId w:val="3"/>
        </w:numPr>
        <w:jc w:val="start"/>
        <w:rPr>
          <w:lang w:val="nl-NL"/>
        </w:rPr>
      </w:pPr>
      <w:r>
        <w:rPr>
          <w:lang w:val="nl-NL"/>
        </w:rPr>
        <w:t>registerknoppen verplaatst</w:t>
      </w:r>
    </w:p>
    <w:p>
      <w:pPr>
        <w:pStyle w:val="T1"/>
        <w:numPr>
          <w:ilvl w:val="0"/>
          <w:numId w:val="3"/>
        </w:numPr>
        <w:jc w:val="start"/>
        <w:rPr>
          <w:lang w:val="nl-NL"/>
        </w:rPr>
      </w:pPr>
      <w:r>
        <w:rPr>
          <w:lang w:val="nl-NL"/>
        </w:rPr>
        <w:t>+ Trompet 8' (inclusief sleep, stok en registermechaniek) op daarvoor gereserveerde plaats</w:t>
      </w:r>
    </w:p>
    <w:p>
      <w:pPr>
        <w:pStyle w:val="T1"/>
        <w:jc w:val="start"/>
        <w:rPr>
          <w:lang w:val="nl-NL"/>
        </w:rPr>
      </w:pPr>
      <w:r>
        <w:rPr>
          <w:lang w:val="nl-NL"/>
        </w:rPr>
      </w:r>
    </w:p>
    <w:p>
      <w:pPr>
        <w:pStyle w:val="T1"/>
        <w:jc w:val="start"/>
        <w:rPr>
          <w:lang w:val="nl-NL"/>
        </w:rPr>
      </w:pPr>
      <w:r>
        <w:rPr>
          <w:lang w:val="nl-NL"/>
        </w:rPr>
        <w:t>Bakker &amp; Timmenga 1934</w:t>
      </w:r>
    </w:p>
    <w:p>
      <w:pPr>
        <w:pStyle w:val="T1"/>
        <w:numPr>
          <w:ilvl w:val="0"/>
          <w:numId w:val="4"/>
        </w:numPr>
        <w:jc w:val="start"/>
        <w:rPr>
          <w:lang w:val="nl-NL"/>
        </w:rPr>
      </w:pPr>
      <w:r>
        <w:rPr>
          <w:lang w:val="nl-NL"/>
        </w:rPr>
        <w:t>tremulant toegevoegd</w:t>
      </w:r>
    </w:p>
    <w:p>
      <w:pPr>
        <w:pStyle w:val="T1"/>
        <w:jc w:val="start"/>
        <w:rPr>
          <w:lang w:val="nl-NL"/>
        </w:rPr>
      </w:pPr>
      <w:r>
        <w:rPr>
          <w:lang w:val="nl-NL"/>
        </w:rPr>
      </w:r>
    </w:p>
    <w:p>
      <w:pPr>
        <w:pStyle w:val="T1"/>
        <w:jc w:val="start"/>
        <w:rPr>
          <w:lang w:val="nl-NL"/>
        </w:rPr>
      </w:pPr>
      <w:r>
        <w:rPr>
          <w:lang w:val="nl-NL"/>
        </w:rPr>
        <w:t>Bakker &amp; Timmenga 1935</w:t>
      </w:r>
    </w:p>
    <w:p>
      <w:pPr>
        <w:pStyle w:val="T1"/>
        <w:numPr>
          <w:ilvl w:val="0"/>
          <w:numId w:val="4"/>
        </w:numPr>
        <w:jc w:val="start"/>
        <w:rPr>
          <w:lang w:val="nl-NL"/>
        </w:rPr>
      </w:pPr>
      <w:r>
        <w:rPr>
          <w:lang w:val="nl-NL"/>
        </w:rPr>
        <w:t>stoppen houten pijpen van viltpakkingen voorzien</w:t>
      </w:r>
    </w:p>
    <w:p>
      <w:pPr>
        <w:pStyle w:val="T1"/>
        <w:jc w:val="start"/>
        <w:rPr>
          <w:lang w:val="nl-NL"/>
        </w:rPr>
      </w:pPr>
      <w:r>
        <w:rPr>
          <w:lang w:val="nl-NL"/>
        </w:rPr>
      </w:r>
    </w:p>
    <w:p>
      <w:pPr>
        <w:pStyle w:val="T1"/>
        <w:jc w:val="start"/>
        <w:rPr>
          <w:lang w:val="nl-NL"/>
        </w:rPr>
      </w:pPr>
      <w:r>
        <w:rPr>
          <w:lang w:val="nl-NL"/>
        </w:rPr>
        <w:t>Orgelmakerij Ernst Leeflang 1964</w:t>
      </w:r>
    </w:p>
    <w:p>
      <w:pPr>
        <w:pStyle w:val="T1"/>
        <w:numPr>
          <w:ilvl w:val="0"/>
          <w:numId w:val="4"/>
        </w:numPr>
        <w:jc w:val="start"/>
        <w:rPr>
          <w:lang w:val="nl-NL"/>
        </w:rPr>
      </w:pPr>
      <w:r>
        <w:rPr>
          <w:lang w:val="nl-NL"/>
        </w:rPr>
        <w:t>orgel overgeplaatst naar Folsgare, Hervormde Kerk</w:t>
      </w:r>
    </w:p>
    <w:p>
      <w:pPr>
        <w:pStyle w:val="T1"/>
        <w:numPr>
          <w:ilvl w:val="0"/>
          <w:numId w:val="4"/>
        </w:numPr>
        <w:rPr>
          <w:lang w:val="nl-NL"/>
        </w:rPr>
      </w:pPr>
      <w:r>
        <w:rPr>
          <w:lang w:val="nl-NL"/>
        </w:rPr>
        <w:t>pedaalklavier vernieuwd</w:t>
      </w:r>
    </w:p>
    <w:p>
      <w:pPr>
        <w:pStyle w:val="T1"/>
        <w:numPr>
          <w:ilvl w:val="0"/>
          <w:numId w:val="4"/>
        </w:numPr>
        <w:rPr>
          <w:lang w:val="nl-NL"/>
        </w:rPr>
      </w:pPr>
      <w:r>
        <w:rPr>
          <w:lang w:val="nl-NL"/>
        </w:rPr>
        <w:t>nieuwe, kleinere magazijnbalg aangebracht</w:t>
      </w:r>
    </w:p>
    <w:p>
      <w:pPr>
        <w:pStyle w:val="T1"/>
        <w:numPr>
          <w:ilvl w:val="0"/>
          <w:numId w:val="4"/>
        </w:numPr>
        <w:jc w:val="start"/>
        <w:rPr>
          <w:lang w:val="nl-NL"/>
        </w:rPr>
      </w:pPr>
      <w:r>
        <w:rPr>
          <w:lang w:val="nl-NL"/>
        </w:rPr>
        <w:t>- Cornet D 3 st., + Mixtuur 2-3 st.</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Bourdon B/D</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Trompet</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r>
              <w:rPr>
                <w:lang w:val="en-GB"/>
              </w:rPr>
              <w:t>'</w:t>
            </w:r>
          </w:p>
          <w:p>
            <w:pPr>
              <w:pStyle w:val="T4dispositie"/>
              <w:rPr>
                <w:lang w:val="nl-NL"/>
              </w:rPr>
            </w:pPr>
            <w:r>
              <w:rPr>
                <w:lang w:val="nl-NL"/>
              </w:rPr>
              <w:t>8</w:t>
            </w:r>
            <w:r>
              <w:rPr>
                <w:lang w:val="en-GB"/>
              </w:rPr>
              <w:t>'</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2-3 st.</w:t>
            </w:r>
          </w:p>
          <w:p>
            <w:pPr>
              <w:pStyle w:val="T4dispositie"/>
              <w:rPr>
                <w:lang w:val="nl-NL"/>
              </w:rPr>
            </w:pPr>
            <w:r>
              <w:rPr>
                <w:lang w:val="nl-NL"/>
              </w:rPr>
              <w:t>8</w:t>
            </w:r>
            <w:r>
              <w:rPr>
                <w:lang w:val="en-GB"/>
              </w:rPr>
              <w:t>'</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tremulant</w:t>
      </w:r>
    </w:p>
    <w:p>
      <w:pPr>
        <w:pStyle w:val="T1"/>
        <w:jc w:val="start"/>
        <w:rPr>
          <w:lang w:val="nl-NL"/>
        </w:rPr>
      </w:pPr>
      <w:r>
        <w:rPr>
          <w:lang w:val="nl-NL"/>
        </w:rPr>
      </w:r>
    </w:p>
    <w:p>
      <w:pPr>
        <w:pStyle w:val="T1"/>
        <w:jc w:val="start"/>
        <w:rPr>
          <w:lang w:val="nl-NL"/>
        </w:rPr>
      </w:pPr>
      <w:r>
        <w:rPr>
          <w:lang w:val="nl-NL"/>
        </w:rPr>
        <w:t>Samenstelling vulstem</w:t>
      </w:r>
    </w:p>
    <w:tbl>
      <w:tblPr>
        <w:tblW w:w="3917" w:type="dxa"/>
        <w:jc w:val="start"/>
        <w:tblInd w:w="0" w:type="dxa"/>
        <w:tblLayout w:type="fixed"/>
        <w:tblCellMar>
          <w:top w:w="0" w:type="dxa"/>
          <w:start w:w="70" w:type="dxa"/>
          <w:bottom w:w="0" w:type="dxa"/>
          <w:end w:w="70" w:type="dxa"/>
        </w:tblCellMar>
      </w:tblPr>
      <w:tblGrid>
        <w:gridCol w:w="1023"/>
        <w:gridCol w:w="718"/>
        <w:gridCol w:w="729"/>
        <w:gridCol w:w="729"/>
        <w:gridCol w:w="718"/>
      </w:tblGrid>
      <w:tr>
        <w:trPr/>
        <w:tc>
          <w:tcPr>
            <w:tcW w:w="1023" w:type="dxa"/>
            <w:tcBorders/>
          </w:tcPr>
          <w:p>
            <w:pPr>
              <w:pStyle w:val="T1"/>
              <w:jc w:val="start"/>
              <w:rPr>
                <w:lang w:val="nl-NL"/>
              </w:rPr>
            </w:pPr>
            <w:r>
              <w:rPr>
                <w:lang w:val="nl-NL"/>
              </w:rPr>
              <w:t>Mixtuur</w:t>
            </w:r>
          </w:p>
        </w:tc>
        <w:tc>
          <w:tcPr>
            <w:tcW w:w="718" w:type="dxa"/>
            <w:tcBorders/>
          </w:tcPr>
          <w:p>
            <w:pPr>
              <w:pStyle w:val="T4dispositie"/>
              <w:rPr/>
            </w:pPr>
            <w:r>
              <w:rPr/>
              <w:t>C</w:t>
            </w:r>
          </w:p>
          <w:p>
            <w:pPr>
              <w:pStyle w:val="T4dispositie"/>
              <w:rPr/>
            </w:pPr>
            <w:r>
              <w:rPr/>
              <w:t>1 1/3</w:t>
            </w:r>
          </w:p>
          <w:p>
            <w:pPr>
              <w:pStyle w:val="T4dispositie"/>
              <w:rPr/>
            </w:pPr>
            <w:r>
              <w:rPr/>
              <w:t>1</w:t>
            </w:r>
          </w:p>
        </w:tc>
        <w:tc>
          <w:tcPr>
            <w:tcW w:w="729" w:type="dxa"/>
            <w:tcBorders/>
          </w:tcPr>
          <w:p>
            <w:pPr>
              <w:pStyle w:val="T4dispositie"/>
              <w:rPr/>
            </w:pPr>
            <w:r>
              <w:rPr/>
              <w:t>c</w:t>
            </w:r>
          </w:p>
          <w:p>
            <w:pPr>
              <w:pStyle w:val="T4dispositie"/>
              <w:rPr/>
            </w:pPr>
            <w:r>
              <w:rPr/>
              <w:t>2</w:t>
            </w:r>
          </w:p>
          <w:p>
            <w:pPr>
              <w:pStyle w:val="T4dispositie"/>
              <w:rPr/>
            </w:pPr>
            <w:r>
              <w:rPr/>
              <w:t>1 1/3</w:t>
            </w:r>
          </w:p>
        </w:tc>
        <w:tc>
          <w:tcPr>
            <w:tcW w:w="729" w:type="dxa"/>
            <w:tcBorders/>
          </w:tcPr>
          <w:p>
            <w:pPr>
              <w:pStyle w:val="T4dispositie"/>
              <w:rPr/>
            </w:pPr>
            <w:r>
              <w:rPr/>
              <w:t>c</w:t>
            </w:r>
            <w:r>
              <w:rPr>
                <w:vertAlign w:val="superscript"/>
              </w:rPr>
              <w:t>1</w:t>
            </w:r>
          </w:p>
          <w:p>
            <w:pPr>
              <w:pStyle w:val="T4dispositie"/>
              <w:rPr/>
            </w:pPr>
            <w:r>
              <w:rPr/>
              <w:t>2 2/3</w:t>
            </w:r>
          </w:p>
          <w:p>
            <w:pPr>
              <w:pStyle w:val="T4dispositie"/>
              <w:rPr/>
            </w:pPr>
            <w:r>
              <w:rPr/>
              <w:t>2</w:t>
            </w:r>
          </w:p>
          <w:p>
            <w:pPr>
              <w:pStyle w:val="T4dispositie"/>
              <w:rPr/>
            </w:pPr>
            <w:r>
              <w:rPr/>
              <w:t>1 1/3</w:t>
            </w:r>
          </w:p>
        </w:tc>
        <w:tc>
          <w:tcPr>
            <w:tcW w:w="718" w:type="dxa"/>
            <w:tcBorders/>
          </w:tcPr>
          <w:p>
            <w:pPr>
              <w:pStyle w:val="T4dispositie"/>
              <w:rPr/>
            </w:pPr>
            <w:r>
              <w:rPr/>
              <w:t>c</w:t>
            </w:r>
            <w:r>
              <w:rPr>
                <w:vertAlign w:val="superscript"/>
              </w:rPr>
              <w:t>2</w:t>
            </w:r>
          </w:p>
          <w:p>
            <w:pPr>
              <w:pStyle w:val="T4dispositie"/>
              <w:rPr/>
            </w:pPr>
            <w:r>
              <w:rPr/>
              <w:t>4</w:t>
            </w:r>
          </w:p>
          <w:p>
            <w:pPr>
              <w:pStyle w:val="T4dispositie"/>
              <w:rPr/>
            </w:pPr>
            <w:r>
              <w:rPr/>
              <w:t>2 2/3</w:t>
            </w:r>
          </w:p>
          <w:p>
            <w:pPr>
              <w:pStyle w:val="T4dispositie"/>
              <w:rPr/>
            </w:pPr>
            <w:r>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432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62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rPr>
      </w:pPr>
      <w:r>
        <w:rPr>
          <w:i/>
          <w:iCs/>
        </w:rPr>
      </w:r>
    </w:p>
    <w:p>
      <w:pPr>
        <w:pStyle w:val="T1"/>
        <w:jc w:val="start"/>
        <w:rPr>
          <w:lang w:val="nl-NL"/>
        </w:rPr>
      </w:pPr>
      <w:r>
        <w:rPr>
          <w:lang w:val="nl-NL"/>
        </w:rPr>
        <w:t>Deling B/D Bourdon 16' tussen H en c.</w:t>
      </w:r>
    </w:p>
    <w:p>
      <w:pPr>
        <w:pStyle w:val="T1"/>
        <w:jc w:val="start"/>
        <w:rPr/>
      </w:pPr>
      <w:r>
        <w:rPr/>
        <w:t xml:space="preserve">De frontpijpen zijn van metaal met een hoog tingehalte. </w:t>
      </w:r>
      <w:r>
        <w:rPr>
          <w:lang w:val="nl-NL"/>
        </w:rPr>
        <w:t>Sprekend (Prestant 8' vanaf C) zijn de drie torens en in de onderste tussenvelden aan weerskanten de eerste vier, (C-kant) respectievelijk vijf (Cis-kant) pijpen, gerekend vanaf de middentoren.</w:t>
      </w:r>
    </w:p>
    <w:p>
      <w:pPr>
        <w:pStyle w:val="T1"/>
        <w:jc w:val="start"/>
        <w:rPr/>
      </w:pPr>
      <w:r>
        <w:rPr/>
        <w:t xml:space="preserve">Het handklavier is een eiken staartklavier met celluloidbeleg op de ondertoetsen. </w:t>
      </w:r>
      <w:r>
        <w:rPr>
          <w:lang w:val="nl-NL"/>
        </w:rPr>
        <w:t xml:space="preserve">De verplaatste registerknoppen dateren (behalve die van de tremulant) nog uit 1908. </w:t>
      </w:r>
      <w:r>
        <w:rPr/>
        <w:t xml:space="preserve">Aan de binnenzijde van de kas zijn de oorspronkelijke registergaten boven de lessenaar nog zichtbaar. </w:t>
      </w:r>
      <w:r>
        <w:rPr>
          <w:lang w:val="nl-NL"/>
        </w:rPr>
        <w:t>Het pedaalklavier heeft vanuit het midden naar buiten toe boventoetsen van oplopende lengte. Het oorspronkelijk pedaalklavier had een omvang van C-g.</w:t>
      </w:r>
      <w:r>
        <w:rPr/>
        <w:t xml:space="preserve"> </w:t>
      </w:r>
      <w:r>
        <w:rPr>
          <w:lang w:val="nl-NL"/>
        </w:rPr>
        <w:t xml:space="preserve">De in 1964 geleverde registerknop voor de Mixtuur is een knop van Witte met als opschrift </w:t>
      </w:r>
      <w:r>
        <w:rPr>
          <w:i/>
          <w:iCs/>
          <w:lang w:val="nl-NL"/>
        </w:rPr>
        <w:t>Mixtuur 2 vt</w:t>
      </w:r>
      <w:r>
        <w:rPr>
          <w:lang w:val="nl-NL"/>
        </w:rPr>
        <w:t>, en is naar alle waarschijnlijkheid afkomstig van het Witte orgel in de Gereformeerde Kerk te Anjum (oorspronkelijk Utrecht, Remonstrantse kerk, 1866 en kort voor 1964 door Leeflang gemoderniseerd en gewijzigd).</w:t>
      </w:r>
    </w:p>
    <w:p>
      <w:pPr>
        <w:pStyle w:val="T1"/>
        <w:jc w:val="start"/>
        <w:rPr/>
      </w:pPr>
      <w:r>
        <w:rPr>
          <w:lang w:val="nl-NL"/>
        </w:rPr>
        <w:t xml:space="preserve">De balg ligt in de onderkas, de windmachine is op die plaats naast de balg opgesteld. </w:t>
      </w:r>
      <w:r>
        <w:rPr/>
        <w:t xml:space="preserve">Oorspronkelijk bezat de magazijnbalg met schepbalgen een handpomp die in klampen tegen de achterwand was aangebracht. De openingen voor de hefbomen en het windzicht zijn dichtgezet. </w:t>
      </w:r>
      <w:r>
        <w:rPr>
          <w:lang w:val="nl-NL"/>
        </w:rPr>
        <w:t>De schuif voor het ventiel, op een voorslag gemonteerd, is er nog, maar dient nu de pneumatische bediening van de tremulant. Het bestek van l908 vermeldt een winddruk van 75 mm.</w:t>
      </w:r>
    </w:p>
    <w:p>
      <w:pPr>
        <w:pStyle w:val="T1"/>
        <w:jc w:val="start"/>
        <w:rPr/>
      </w:pPr>
      <w:r>
        <w:rPr>
          <w:lang w:val="nl-NL"/>
        </w:rPr>
        <w:t>De windlade is van eiken, maar stokken en roosters zijn van mahonie. De ventielkast heeft drie opliggende, vastgeschroefde voorslagen. De cancelvolgorde is: fis d B Fis c e gis / e</w:t>
      </w:r>
      <w:r>
        <w:rPr>
          <w:vertAlign w:val="superscript"/>
          <w:lang w:val="nl-NL"/>
        </w:rPr>
        <w:t>3</w:t>
      </w:r>
      <w:r>
        <w:rPr>
          <w:lang w:val="nl-NL"/>
        </w:rPr>
        <w:t xml:space="preserve"> (hele tonen) b / Fis E D C Cis Dis F / a (hele tonen) f</w:t>
      </w:r>
      <w:r>
        <w:rPr>
          <w:vertAlign w:val="superscript"/>
          <w:lang w:val="nl-NL"/>
        </w:rPr>
        <w:t>3</w:t>
      </w:r>
      <w:r>
        <w:rPr>
          <w:lang w:val="nl-NL"/>
        </w:rPr>
        <w:t xml:space="preserve"> / g dis H Gis A cis f. (f aan klavierzijde).</w:t>
      </w:r>
    </w:p>
    <w:p>
      <w:pPr>
        <w:pStyle w:val="T1"/>
        <w:jc w:val="start"/>
        <w:rPr>
          <w:lang w:val="nl-NL"/>
        </w:rPr>
      </w:pPr>
      <w:r>
        <w:rPr>
          <w:lang w:val="nl-NL"/>
        </w:rPr>
        <w:t>Houten pijpen van Amerikaans grenen zijn toegepast voor de Bourdon 16' (C-h, waarvan C-G tegen de rechter zijkant opgesteld en voorzien van voorbaarden) en de Holpijp 8' (C-H). De Viola di Gamba 8' is van C-H gecombineerd met de Holpijp en verder van tin. De Fluit 4' is gedekt, het hoogste octaaf is echter open, conisch.</w:t>
      </w:r>
    </w:p>
    <w:p>
      <w:pPr>
        <w:pStyle w:val="T1"/>
        <w:jc w:val="start"/>
        <w:rPr/>
      </w:pPr>
      <w:r>
        <w:rPr>
          <w:lang w:val="nl-NL"/>
        </w:rPr>
        <w:t xml:space="preserve">De Trompet 8' heeft zinken stevels en zinken bekers. Alle inscripties zijn met slagletters uitgevoerd, de registernaam luidt </w:t>
      </w:r>
      <w:r>
        <w:rPr>
          <w:i/>
          <w:iCs/>
          <w:lang w:val="nl-NL"/>
        </w:rPr>
        <w:t>Trompete</w:t>
      </w:r>
      <w:r>
        <w:rPr>
          <w:lang w:val="nl-NL"/>
        </w:rPr>
        <w:t xml:space="preserve">. </w:t>
      </w:r>
      <w:r>
        <w:rPr/>
        <w:t>De koppen zijn van lood. Alle bekers zijn van slitsen voorzien.</w:t>
      </w:r>
    </w:p>
    <w:p>
      <w:pPr>
        <w:pStyle w:val="T1"/>
        <w:jc w:val="start"/>
        <w:rPr/>
      </w:pPr>
      <w:r>
        <w:rPr/>
        <w:t xml:space="preserve">Al het metalen binnenpijpwerk is toegeleverd materiaal. </w:t>
      </w:r>
      <w:r>
        <w:rPr>
          <w:lang w:val="nl-NL"/>
        </w:rPr>
        <w:t>Het merendeel hiervan heeft geperste labia. Het pijpwerk van de Holpijp heeft spits geritste labia en pijpwanden die door hun speciale structuur als spotted worden aangeduid. Expressions zijn toegepast bij alle pijpen van Prestant en Viola di Gamba, bij de Octaaf 4' (C-f</w:t>
      </w:r>
      <w:r>
        <w:rPr>
          <w:vertAlign w:val="superscript"/>
          <w:lang w:val="nl-NL"/>
        </w:rPr>
        <w:t>2</w:t>
      </w:r>
      <w:r>
        <w:rPr>
          <w:lang w:val="nl-NL"/>
        </w:rPr>
        <w:t>) en bij de Octaaf 2' (C-cis</w:t>
      </w:r>
      <w:r>
        <w:rPr>
          <w:vertAlign w:val="superscript"/>
          <w:lang w:val="nl-NL"/>
        </w:rPr>
        <w:t>1</w:t>
      </w:r>
      <w:r>
        <w:rPr>
          <w:lang w:val="nl-NL"/>
        </w:rPr>
        <w: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abstractNum w:abstractNumId="4">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Times New Roman" w:hAnsi="Times New Roman" w:eastAsia="Times New Roman" w:cs="Times New Roman"/>
    </w:rPr>
  </w:style>
  <w:style w:type="character" w:styleId="WW8Num4z2">
    <w:name w:val="WW8Num4z2"/>
    <w:qFormat/>
    <w:rPr>
      <w:rFonts w:ascii="Wingdings" w:hAnsi="Wingdings" w:cs="Wingdings"/>
    </w:rPr>
  </w:style>
  <w:style w:type="character" w:styleId="WW8Num4z4">
    <w:name w:val="WW8Num4z4"/>
    <w:qFormat/>
    <w:rPr>
      <w:rFonts w:ascii="Courier New" w:hAnsi="Courier New" w:cs="Courier New"/>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43</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2008-02-27T13:56:00Z</dcterms:created>
  <dc:creator>WS1</dc:creator>
  <dc:description/>
  <dc:language>en-US</dc:language>
  <cp:lastModifiedBy>NIvO</cp:lastModifiedBy>
  <dcterms:modified xsi:type="dcterms:W3CDTF">2009-09-29T13:05:00Z</dcterms:modified>
  <cp:revision>13</cp:revision>
  <dc:subject/>
  <dc:title>Niekerk (Hunsingo) / 1883</dc:title>
</cp:coreProperties>
</file>